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4FDC3" w14:textId="743F61F7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TSG RAN WG2 Meeting #129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00265</w:t>
      </w:r>
    </w:p>
    <w:p w14:paraId="4FD806EB" w14:textId="77777777" w:rsidR="00AF3527" w:rsidRDefault="003669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Athens, Greece, Feb 17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21</w:t>
      </w:r>
      <w:r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>, 2025</w:t>
      </w:r>
    </w:p>
    <w:p w14:paraId="2D8E407C" w14:textId="77777777" w:rsidR="00AF3527" w:rsidRDefault="003669F6">
      <w:pPr>
        <w:pStyle w:val="3GPPHeader"/>
        <w:rPr>
          <w:rFonts w:eastAsia="MS Mincho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  <w:t>8.1.5</w:t>
      </w:r>
    </w:p>
    <w:p w14:paraId="454CAA17" w14:textId="77777777" w:rsidR="00AF3527" w:rsidRDefault="003669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 Corporation</w:t>
      </w:r>
    </w:p>
    <w:p w14:paraId="2926146A" w14:textId="77777777" w:rsidR="00AF3527" w:rsidRDefault="003669F6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</w:rPr>
        <w:t>F</w:t>
      </w:r>
      <w:r>
        <w:rPr>
          <w:sz w:val="22"/>
          <w:szCs w:val="22"/>
        </w:rPr>
        <w:t>easibility analysis of model/dataset transfer solutions</w:t>
      </w:r>
    </w:p>
    <w:p w14:paraId="34E9FB1A" w14:textId="77777777" w:rsidR="00AF3527" w:rsidRDefault="003669F6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0F52F10F" w14:textId="77777777" w:rsidR="00AF3527" w:rsidRDefault="003669F6" w:rsidP="00C250FD">
      <w:pPr>
        <w:pStyle w:val="Heading1"/>
        <w:tabs>
          <w:tab w:val="clear" w:pos="4680"/>
          <w:tab w:val="clear" w:pos="9360"/>
        </w:tabs>
      </w:pPr>
      <w:r>
        <w:t>Introduction</w:t>
      </w:r>
    </w:p>
    <w:p w14:paraId="7BF69367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During Rel-18, RAN2 studied potential solutions for AI/ML model transfer/delivery and provided potential RAN specification impact in TR 38.843 [2]</w:t>
      </w:r>
      <w:r>
        <w:rPr>
          <w:lang w:val="en-GB"/>
        </w:rPr>
        <w:t>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AF3527" w14:paraId="7678166D" w14:textId="77777777">
        <w:tc>
          <w:tcPr>
            <w:tcW w:w="9350" w:type="dxa"/>
          </w:tcPr>
          <w:p w14:paraId="3D81D725" w14:textId="77777777" w:rsidR="00AF3527" w:rsidRDefault="003669F6">
            <w:pPr>
              <w:pStyle w:val="B1"/>
              <w:ind w:left="0" w:firstLine="0"/>
            </w:pPr>
            <w:r>
              <w:t>To support AI/ML model transfer/delivery, the following s</w:t>
            </w:r>
            <w:r>
              <w:t>olutions are considered:</w:t>
            </w:r>
          </w:p>
          <w:p w14:paraId="392782AE" w14:textId="77777777" w:rsidR="00AF3527" w:rsidRDefault="003669F6">
            <w:pPr>
              <w:pStyle w:val="B1"/>
              <w:rPr>
                <w:lang w:eastAsia="en-US"/>
              </w:rPr>
            </w:pPr>
            <w:r>
              <w:t>-</w:t>
            </w:r>
            <w:r>
              <w:tab/>
              <w:t>Solution 1a: gNB can transfer/deliver AI/ML model(s) to UE via RRC signalling.</w:t>
            </w:r>
          </w:p>
          <w:p w14:paraId="3BCD17B1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2a: Core Network (except LMF) can transfer/deliver AI/ML model(s) to UE via NAS signalling.</w:t>
            </w:r>
          </w:p>
          <w:p w14:paraId="4612A9E8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3a: LMF can transfer/deliver AI/ML m</w:t>
            </w:r>
            <w:r>
              <w:t>odel(s) to UE via LPP signalling.</w:t>
            </w:r>
          </w:p>
          <w:p w14:paraId="550D037E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1b: gNB can transfer/deliver AI/ML model(s) to UE via UP data.</w:t>
            </w:r>
          </w:p>
          <w:p w14:paraId="6F4BED49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2b: Core Network (except LMF) can transfer/deliver AI/ML model(s) to UE via User Plane (UP) data.</w:t>
            </w:r>
          </w:p>
          <w:p w14:paraId="4EDAF4AB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3b: LMF can transfer/deliver</w:t>
            </w:r>
            <w:r>
              <w:t xml:space="preserve"> AI/ML model(s) to UE via UP data.</w:t>
            </w:r>
          </w:p>
          <w:p w14:paraId="40E9145F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4a: OTT server can transfer/deliver AI/ML model(s) to UE (e.g., transparent to 3GPP).</w:t>
            </w:r>
          </w:p>
          <w:p w14:paraId="48BF4898" w14:textId="77777777" w:rsidR="00AF3527" w:rsidRDefault="003669F6">
            <w:pPr>
              <w:pStyle w:val="B1"/>
            </w:pPr>
            <w:r>
              <w:t>-</w:t>
            </w:r>
            <w:r>
              <w:tab/>
              <w:t>Solution 4b: OAM can transfer/deliver AI/ML model(s) to UE.</w:t>
            </w:r>
          </w:p>
          <w:p w14:paraId="6D50BF04" w14:textId="77777777" w:rsidR="00AF3527" w:rsidRDefault="003669F6">
            <w:pPr>
              <w:rPr>
                <w:rFonts w:eastAsia="Calibri"/>
              </w:rPr>
            </w:pPr>
            <w:r>
              <w:rPr>
                <w:rFonts w:eastAsia="Calibri"/>
              </w:rPr>
              <w:t>The following areas are considered to evaluate the different m</w:t>
            </w:r>
            <w:r>
              <w:rPr>
                <w:rFonts w:eastAsia="Calibri"/>
              </w:rPr>
              <w:t>odel transfer/delivery solutions:</w:t>
            </w:r>
          </w:p>
          <w:p w14:paraId="4DBCE773" w14:textId="77777777" w:rsidR="00AF3527" w:rsidRDefault="003669F6">
            <w:pPr>
              <w:pStyle w:val="B1"/>
            </w:pPr>
            <w:r>
              <w:t>-</w:t>
            </w:r>
            <w:r>
              <w:tab/>
              <w:t>A1: Large, no upper limit model/model parameter size,</w:t>
            </w:r>
          </w:p>
          <w:p w14:paraId="63080F4D" w14:textId="77777777" w:rsidR="00AF3527" w:rsidRDefault="003669F6">
            <w:pPr>
              <w:pStyle w:val="B1"/>
            </w:pPr>
            <w:r>
              <w:t>-</w:t>
            </w:r>
            <w:r>
              <w:tab/>
              <w:t>A2: Model transfer/delivery continuity (i.e., resume transmission of model (segments) across gNBs),</w:t>
            </w:r>
          </w:p>
          <w:p w14:paraId="473FE5B9" w14:textId="77777777" w:rsidR="00AF3527" w:rsidRDefault="003669F6">
            <w:pPr>
              <w:pStyle w:val="B1"/>
            </w:pPr>
            <w:r>
              <w:t>-</w:t>
            </w:r>
            <w:r>
              <w:tab/>
              <w:t xml:space="preserve">A3: Network controllability on model transfer/delivery (e.g., </w:t>
            </w:r>
            <w:r>
              <w:t>management decision at gNB),</w:t>
            </w:r>
          </w:p>
          <w:p w14:paraId="795CC17F" w14:textId="77777777" w:rsidR="00AF3527" w:rsidRDefault="003669F6">
            <w:pPr>
              <w:pStyle w:val="B1"/>
            </w:pPr>
            <w:r>
              <w:t>-</w:t>
            </w:r>
            <w:r>
              <w:tab/>
              <w:t>A4: Model transfer/delivery QoS (for DRB) (including latency, etc.) and priority (for SRB).</w:t>
            </w:r>
          </w:p>
        </w:tc>
      </w:tr>
    </w:tbl>
    <w:p w14:paraId="78014603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 xml:space="preserve">Based on RAN1 further discussion, RAN2 receives </w:t>
      </w:r>
      <w:r>
        <w:rPr>
          <w:rFonts w:hint="eastAsia"/>
          <w:lang w:val="en-GB" w:eastAsia="zh-CN"/>
        </w:rPr>
        <w:t>RA</w:t>
      </w:r>
      <w:r>
        <w:rPr>
          <w:lang w:eastAsia="zh-CN"/>
        </w:rPr>
        <w:t xml:space="preserve">N1 LS in </w:t>
      </w:r>
      <w:r>
        <w:rPr>
          <w:lang w:val="en-GB" w:eastAsia="zh-CN"/>
        </w:rPr>
        <w:t xml:space="preserve">R1-2410922 [1] asking the feasibility of standardized signaling for </w:t>
      </w:r>
      <w:r>
        <w:rPr>
          <w:lang w:val="en-GB" w:eastAsia="zh-CN"/>
        </w:rPr>
        <w:t>NW-side sharing model parameters and/or dataset to the UE.</w:t>
      </w:r>
    </w:p>
    <w:p w14:paraId="63E7C903" w14:textId="77777777" w:rsidR="00AF3527" w:rsidRDefault="003669F6">
      <w:pPr>
        <w:rPr>
          <w:lang w:val="en-GB"/>
        </w:rPr>
      </w:pPr>
      <w:r>
        <w:rPr>
          <w:lang w:val="en-GB"/>
        </w:rPr>
        <w:t>In this contribution, based on RAN1 agreed information (i.e. dataset, encoder parameter, or both), we provide the feasibility analysis for each model transfer/delivery solution.</w:t>
      </w:r>
    </w:p>
    <w:p w14:paraId="4E1775E5" w14:textId="77777777" w:rsidR="00AF3527" w:rsidRDefault="003669F6" w:rsidP="00C250FD">
      <w:pPr>
        <w:pStyle w:val="Heading1"/>
        <w:tabs>
          <w:tab w:val="clear" w:pos="4680"/>
          <w:tab w:val="clear" w:pos="9360"/>
        </w:tabs>
      </w:pPr>
      <w:r>
        <w:t>Discussion</w:t>
      </w:r>
    </w:p>
    <w:p w14:paraId="7512AB0E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Recallin</w:t>
      </w:r>
      <w:r>
        <w:rPr>
          <w:lang w:val="en-GB" w:eastAsia="zh-CN"/>
        </w:rPr>
        <w:t>g that RAN2 studied model transfer/delivery aspect during Rel-18 and analysed the feasibility of model transfer/delivery from the following four aspects [2]: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AF3527" w14:paraId="418602D5" w14:textId="77777777">
        <w:tc>
          <w:tcPr>
            <w:tcW w:w="9350" w:type="dxa"/>
          </w:tcPr>
          <w:p w14:paraId="68392242" w14:textId="77777777" w:rsidR="00AF3527" w:rsidRDefault="003669F6">
            <w:pPr>
              <w:pStyle w:val="B1"/>
              <w:rPr>
                <w:lang w:eastAsia="en-US"/>
              </w:rPr>
            </w:pPr>
            <w:r>
              <w:lastRenderedPageBreak/>
              <w:t>-</w:t>
            </w:r>
            <w:r>
              <w:tab/>
              <w:t>A1: Large, no upper limit model/model parameter size,</w:t>
            </w:r>
          </w:p>
          <w:p w14:paraId="72E426A6" w14:textId="77777777" w:rsidR="00AF3527" w:rsidRDefault="003669F6">
            <w:pPr>
              <w:pStyle w:val="B1"/>
            </w:pPr>
            <w:r>
              <w:t>-</w:t>
            </w:r>
            <w:r>
              <w:tab/>
              <w:t>A2: Model transfer/delivery continuity (</w:t>
            </w:r>
            <w:r>
              <w:t>i.e., resume transmission of model (segments) across gNBs),</w:t>
            </w:r>
          </w:p>
          <w:p w14:paraId="35ABA4FE" w14:textId="77777777" w:rsidR="00AF3527" w:rsidRDefault="003669F6">
            <w:pPr>
              <w:pStyle w:val="B1"/>
            </w:pPr>
            <w:r>
              <w:t>-</w:t>
            </w:r>
            <w:r>
              <w:tab/>
              <w:t>A3: Network controllability on model transfer/delivery (e.g., management decision at gNB),</w:t>
            </w:r>
          </w:p>
          <w:p w14:paraId="14E57353" w14:textId="77777777" w:rsidR="00AF3527" w:rsidRDefault="003669F6">
            <w:pPr>
              <w:pStyle w:val="B1"/>
            </w:pPr>
            <w:r>
              <w:t>-</w:t>
            </w:r>
            <w:r>
              <w:tab/>
              <w:t>A4: Model transfer/delivery QoS (for DRB) (including latency, etc.) and priority (for SRB).</w:t>
            </w:r>
          </w:p>
        </w:tc>
      </w:tr>
    </w:tbl>
    <w:p w14:paraId="4D276A63" w14:textId="77777777" w:rsidR="00AF3527" w:rsidRDefault="003669F6">
      <w:pPr>
        <w:rPr>
          <w:lang w:eastAsia="zh-CN"/>
        </w:rPr>
      </w:pPr>
      <w:r>
        <w:rPr>
          <w:lang w:val="en-GB" w:eastAsia="zh-CN"/>
        </w:rPr>
        <w:t>Accordin</w:t>
      </w:r>
      <w:r>
        <w:rPr>
          <w:lang w:val="en-GB" w:eastAsia="zh-CN"/>
        </w:rPr>
        <w:t xml:space="preserve">g to RAN1 LS in R1-2410922 [1], we try to summarize </w:t>
      </w:r>
      <w:r>
        <w:rPr>
          <w:rFonts w:hint="eastAsia"/>
          <w:lang w:eastAsia="zh-CN"/>
        </w:rPr>
        <w:t>t</w:t>
      </w:r>
      <w:r>
        <w:rPr>
          <w:lang w:eastAsia="zh-CN"/>
        </w:rPr>
        <w:t>he key requirement from RAN1 on model transfer/delivery in below table:</w:t>
      </w:r>
    </w:p>
    <w:tbl>
      <w:tblPr>
        <w:tblStyle w:val="TableGrid"/>
        <w:tblW w:w="9586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701"/>
        <w:gridCol w:w="1369"/>
      </w:tblGrid>
      <w:tr w:rsidR="00AF3527" w14:paraId="4BA39DC0" w14:textId="77777777">
        <w:tc>
          <w:tcPr>
            <w:tcW w:w="3114" w:type="dxa"/>
          </w:tcPr>
          <w:p w14:paraId="7C293CF7" w14:textId="77777777" w:rsidR="00AF3527" w:rsidRDefault="003669F6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>
              <w:rPr>
                <w:rFonts w:eastAsiaTheme="minorEastAsia"/>
                <w:b/>
                <w:bCs/>
                <w:lang w:eastAsia="zh-CN"/>
              </w:rPr>
              <w:t>ethod</w:t>
            </w:r>
          </w:p>
        </w:tc>
        <w:tc>
          <w:tcPr>
            <w:tcW w:w="3402" w:type="dxa"/>
          </w:tcPr>
          <w:p w14:paraId="5514CA3D" w14:textId="77777777" w:rsidR="00AF3527" w:rsidRDefault="003669F6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Data/parameter size</w:t>
            </w:r>
          </w:p>
        </w:tc>
        <w:tc>
          <w:tcPr>
            <w:tcW w:w="1701" w:type="dxa"/>
          </w:tcPr>
          <w:p w14:paraId="199F5F67" w14:textId="77777777" w:rsidR="00AF3527" w:rsidRDefault="003669F6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Latency</w:t>
            </w:r>
          </w:p>
        </w:tc>
        <w:tc>
          <w:tcPr>
            <w:tcW w:w="1369" w:type="dxa"/>
          </w:tcPr>
          <w:p w14:paraId="121BB2B6" w14:textId="77777777" w:rsidR="00AF3527" w:rsidRDefault="003669F6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Frequency</w:t>
            </w:r>
          </w:p>
        </w:tc>
      </w:tr>
      <w:tr w:rsidR="00AF3527" w14:paraId="4A2B65C3" w14:textId="77777777">
        <w:tc>
          <w:tcPr>
            <w:tcW w:w="3114" w:type="dxa"/>
            <w:vAlign w:val="center"/>
          </w:tcPr>
          <w:p w14:paraId="5EE799FA" w14:textId="77777777" w:rsidR="00AF3527" w:rsidRDefault="003669F6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Option 4-1: sharing {target CSI, CSI feedback} dataset</w:t>
            </w:r>
          </w:p>
        </w:tc>
        <w:tc>
          <w:tcPr>
            <w:tcW w:w="3402" w:type="dxa"/>
            <w:vAlign w:val="center"/>
          </w:tcPr>
          <w:p w14:paraId="760AF3BE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25MB</w:t>
            </w:r>
          </w:p>
        </w:tc>
        <w:tc>
          <w:tcPr>
            <w:tcW w:w="1701" w:type="dxa"/>
            <w:vMerge w:val="restart"/>
            <w:vAlign w:val="center"/>
          </w:tcPr>
          <w:p w14:paraId="1D35BDC1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Relaxed latency </w:t>
            </w:r>
            <w:r>
              <w:rPr>
                <w:rFonts w:eastAsiaTheme="minorEastAsia"/>
                <w:lang w:eastAsia="zh-CN"/>
              </w:rPr>
              <w:t>(e.g. days/weeks)</w:t>
            </w:r>
          </w:p>
        </w:tc>
        <w:tc>
          <w:tcPr>
            <w:tcW w:w="1369" w:type="dxa"/>
            <w:vMerge w:val="restart"/>
            <w:vAlign w:val="center"/>
          </w:tcPr>
          <w:p w14:paraId="31BD6729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Infrequent</w:t>
            </w:r>
          </w:p>
        </w:tc>
      </w:tr>
      <w:tr w:rsidR="00AF3527" w14:paraId="735F133B" w14:textId="77777777">
        <w:tc>
          <w:tcPr>
            <w:tcW w:w="3114" w:type="dxa"/>
            <w:vAlign w:val="center"/>
          </w:tcPr>
          <w:p w14:paraId="7DEBC9D2" w14:textId="77777777" w:rsidR="00AF3527" w:rsidRDefault="003669F6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Option 3a-1 without target CSI: sharing encoder parameter</w:t>
            </w:r>
          </w:p>
        </w:tc>
        <w:tc>
          <w:tcPr>
            <w:tcW w:w="3402" w:type="dxa"/>
            <w:vAlign w:val="center"/>
          </w:tcPr>
          <w:p w14:paraId="59AA7147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1.6MB (medium model size);</w:t>
            </w:r>
          </w:p>
          <w:p w14:paraId="7AC89186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2MB (largest model size)</w:t>
            </w:r>
          </w:p>
        </w:tc>
        <w:tc>
          <w:tcPr>
            <w:tcW w:w="1701" w:type="dxa"/>
            <w:vMerge/>
          </w:tcPr>
          <w:p w14:paraId="7B83AE9F" w14:textId="77777777" w:rsidR="00AF3527" w:rsidRDefault="00AF3527">
            <w:pPr>
              <w:rPr>
                <w:rFonts w:eastAsia="Calibri"/>
                <w:lang w:eastAsia="zh-CN"/>
              </w:rPr>
            </w:pPr>
          </w:p>
        </w:tc>
        <w:tc>
          <w:tcPr>
            <w:tcW w:w="1369" w:type="dxa"/>
            <w:vMerge/>
          </w:tcPr>
          <w:p w14:paraId="05CF0E2A" w14:textId="77777777" w:rsidR="00AF3527" w:rsidRDefault="00AF3527">
            <w:pPr>
              <w:rPr>
                <w:rFonts w:eastAsia="Calibri"/>
                <w:lang w:eastAsia="zh-CN"/>
              </w:rPr>
            </w:pPr>
          </w:p>
        </w:tc>
      </w:tr>
      <w:tr w:rsidR="00AF3527" w14:paraId="31FF9D54" w14:textId="77777777">
        <w:trPr>
          <w:trHeight w:val="43"/>
        </w:trPr>
        <w:tc>
          <w:tcPr>
            <w:tcW w:w="3114" w:type="dxa"/>
            <w:vAlign w:val="center"/>
          </w:tcPr>
          <w:p w14:paraId="2171C48F" w14:textId="77777777" w:rsidR="00AF3527" w:rsidRDefault="003669F6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Option 3a-1 with target CSI: sharing encoder parameters, along with {target CSI} dataset</w:t>
            </w:r>
          </w:p>
        </w:tc>
        <w:tc>
          <w:tcPr>
            <w:tcW w:w="3402" w:type="dxa"/>
            <w:vAlign w:val="center"/>
          </w:tcPr>
          <w:p w14:paraId="248E5AD2" w14:textId="77777777" w:rsidR="00AF3527" w:rsidRDefault="003669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36.6~277MB</w:t>
            </w:r>
          </w:p>
        </w:tc>
        <w:tc>
          <w:tcPr>
            <w:tcW w:w="1701" w:type="dxa"/>
            <w:vMerge/>
          </w:tcPr>
          <w:p w14:paraId="043EFEF6" w14:textId="77777777" w:rsidR="00AF3527" w:rsidRDefault="00AF3527">
            <w:pPr>
              <w:rPr>
                <w:rFonts w:eastAsia="Calibri"/>
                <w:lang w:eastAsia="zh-CN"/>
              </w:rPr>
            </w:pPr>
          </w:p>
        </w:tc>
        <w:tc>
          <w:tcPr>
            <w:tcW w:w="1369" w:type="dxa"/>
            <w:vMerge/>
          </w:tcPr>
          <w:p w14:paraId="7FC7E094" w14:textId="77777777" w:rsidR="00AF3527" w:rsidRDefault="00AF3527">
            <w:pPr>
              <w:rPr>
                <w:rFonts w:eastAsia="Calibri"/>
                <w:lang w:eastAsia="zh-CN"/>
              </w:rPr>
            </w:pPr>
          </w:p>
        </w:tc>
      </w:tr>
    </w:tbl>
    <w:p w14:paraId="36437A41" w14:textId="15246347" w:rsidR="00AF3527" w:rsidRDefault="003669F6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C250FD">
        <w:rPr>
          <w:lang w:eastAsia="zh-CN"/>
        </w:rPr>
        <w:t>1</w:t>
      </w:r>
      <w:r>
        <w:rPr>
          <w:lang w:eastAsia="zh-CN"/>
        </w:rPr>
        <w:t>: Based on RAN1 LS, model transfer/delivery for two-sided model has the following requirements:</w:t>
      </w:r>
    </w:p>
    <w:p w14:paraId="55B5E82D" w14:textId="77777777" w:rsidR="00AF3527" w:rsidRDefault="003669F6">
      <w:pPr>
        <w:pStyle w:val="Obs-prop"/>
        <w:numPr>
          <w:ilvl w:val="0"/>
          <w:numId w:val="7"/>
        </w:numPr>
        <w:rPr>
          <w:rFonts w:eastAsia="Calibri"/>
          <w:lang w:eastAsia="zh-CN"/>
        </w:rPr>
      </w:pPr>
      <w:r>
        <w:rPr>
          <w:lang w:eastAsia="zh-CN"/>
        </w:rPr>
        <w:t>Data/parameter size may be as large as 277MB</w:t>
      </w:r>
    </w:p>
    <w:p w14:paraId="3E98FB03" w14:textId="77777777" w:rsidR="00AF3527" w:rsidRDefault="003669F6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Relaxed latency (e.g. days/weeks)</w:t>
      </w:r>
    </w:p>
    <w:p w14:paraId="0DE274D0" w14:textId="77777777" w:rsidR="00AF3527" w:rsidRDefault="003669F6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Infrequent updates</w:t>
      </w:r>
    </w:p>
    <w:p w14:paraId="43A8176B" w14:textId="77777777" w:rsidR="00AF3527" w:rsidRDefault="003669F6">
      <w:pPr>
        <w:rPr>
          <w:lang w:eastAsia="zh-CN"/>
        </w:rPr>
      </w:pPr>
      <w:r>
        <w:rPr>
          <w:lang w:eastAsia="zh-CN"/>
        </w:rPr>
        <w:t>Before analyzing the feasibility of each solution,</w:t>
      </w:r>
      <w:r>
        <w:rPr>
          <w:lang w:eastAsia="zh-CN"/>
        </w:rPr>
        <w:t xml:space="preserve"> we first analyze how RAN1 requirements can be reflected to RAN2 studied aspects of model transfer/delivery feasibility analysis.</w:t>
      </w:r>
    </w:p>
    <w:p w14:paraId="22974521" w14:textId="77777777" w:rsidR="00AF3527" w:rsidRDefault="003669F6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equirement for model transfer/delivery</w:t>
      </w:r>
    </w:p>
    <w:p w14:paraId="2043D3FD" w14:textId="77777777" w:rsidR="00AF3527" w:rsidRDefault="003669F6">
      <w:pPr>
        <w:pStyle w:val="MiniHeading"/>
      </w:pPr>
      <w:r>
        <w:t>A1: Data/model parameter size</w:t>
      </w:r>
    </w:p>
    <w:p w14:paraId="652851F2" w14:textId="77777777" w:rsidR="00AF3527" w:rsidRDefault="003669F6">
      <w:pPr>
        <w:rPr>
          <w:lang w:eastAsia="zh-CN"/>
        </w:rPr>
      </w:pPr>
      <w:r>
        <w:rPr>
          <w:rFonts w:hint="eastAsia"/>
          <w:lang w:val="en-GB" w:eastAsia="zh-CN"/>
        </w:rPr>
        <w:t>For</w:t>
      </w:r>
      <w:r>
        <w:rPr>
          <w:lang w:eastAsia="zh-CN"/>
        </w:rPr>
        <w:t xml:space="preserve"> CP solutions, transferring the required data/paramet</w:t>
      </w:r>
      <w:r>
        <w:rPr>
          <w:lang w:eastAsia="zh-CN"/>
        </w:rPr>
        <w:t>er size over the air interface could be limited by the size of RRC/NAS signaling.</w:t>
      </w:r>
    </w:p>
    <w:p w14:paraId="56DCA43A" w14:textId="77777777" w:rsidR="00AF3527" w:rsidRDefault="003669F6">
      <w:pPr>
        <w:rPr>
          <w:lang w:val="en-GB" w:eastAsia="zh-CN"/>
        </w:rPr>
      </w:pPr>
      <w:r>
        <w:rPr>
          <w:lang w:eastAsia="zh-CN"/>
        </w:rPr>
        <w:t>I</w:t>
      </w:r>
      <w:r>
        <w:rPr>
          <w:lang w:val="en-GB" w:eastAsia="zh-CN"/>
        </w:rPr>
        <w:t xml:space="preserve">n Solution 1a (i.e. gNB transfer via RRC signaling), RRC signaling for model transfer (in Option 4-1, Option 3a-1 without parameter, Option 3a-1 with parameter) needs to be </w:t>
      </w:r>
      <w:r>
        <w:rPr>
          <w:lang w:val="en-GB" w:eastAsia="zh-CN"/>
        </w:rPr>
        <w:t>segmented into:</w:t>
      </w:r>
    </w:p>
    <w:p w14:paraId="699533D0" w14:textId="77777777" w:rsidR="00AF3527" w:rsidRDefault="003669F6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Option 4-1: 225MB/9kB = 25,000 segments</w:t>
      </w:r>
    </w:p>
    <w:p w14:paraId="1BF19E3D" w14:textId="77777777" w:rsidR="00AF3527" w:rsidRDefault="003669F6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Option 3a-1 without parameter: 11.6MB/9kB = 1,288 segments (medium model size)</w:t>
      </w:r>
    </w:p>
    <w:p w14:paraId="1F503E50" w14:textId="77777777" w:rsidR="00AF3527" w:rsidRDefault="003669F6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Option 3a-1 with parameter: 236.6MB/9kB = 26,288 segments (medium model size)</w:t>
      </w:r>
    </w:p>
    <w:p w14:paraId="647346B9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As for Solution 2a, since segmentation is a</w:t>
      </w:r>
      <w:r>
        <w:rPr>
          <w:lang w:val="en-GB" w:eastAsia="zh-CN"/>
        </w:rPr>
        <w:t xml:space="preserve">lso not supported for NAS signaling, the same number of segments is need to be done in RRC layer. </w:t>
      </w:r>
    </w:p>
    <w:p w14:paraId="356D01DF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On the other hand, from UP point of view, dataset/model parameter transfer over air interface can be considered same as packet transmission, where a packet s</w:t>
      </w:r>
      <w:r>
        <w:rPr>
          <w:lang w:val="en-GB" w:eastAsia="zh-CN"/>
        </w:rPr>
        <w:t>ize of 300MB.</w:t>
      </w:r>
    </w:p>
    <w:p w14:paraId="31ED999C" w14:textId="77777777" w:rsidR="00AF3527" w:rsidRDefault="003669F6">
      <w:pPr>
        <w:pStyle w:val="MiniHeading"/>
      </w:pPr>
      <w:r>
        <w:t>A2: Model transfer/delivery continuity</w:t>
      </w:r>
    </w:p>
    <w:p w14:paraId="032AC819" w14:textId="77777777" w:rsidR="00AF3527" w:rsidRDefault="003669F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s mentioned in RAN1 LS, dataset/model parameter can be transmitted with a relaxed latency (e.g. days/weeks). It is very possible that the UE will move to another cell during this relaxed period for mode</w:t>
      </w:r>
      <w:r>
        <w:rPr>
          <w:lang w:val="en-GB" w:eastAsia="zh-CN"/>
        </w:rPr>
        <w:t>l transfer/delivery. Therefore, continuity for model transfer/delivery across different cells/NG-RAN nodes needs to be supported.</w:t>
      </w:r>
    </w:p>
    <w:p w14:paraId="1B4B1311" w14:textId="77777777" w:rsidR="00AF3527" w:rsidRDefault="003669F6">
      <w:pPr>
        <w:pStyle w:val="MiniHeading"/>
      </w:pPr>
      <w:r>
        <w:lastRenderedPageBreak/>
        <w:t>A3: Network controllability at gNB</w:t>
      </w:r>
    </w:p>
    <w:p w14:paraId="2A273E8F" w14:textId="77777777" w:rsidR="00AF3527" w:rsidRDefault="003669F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s quoted by RAN1 LS [1], the discussion of model transfer/delivery is mainly </w:t>
      </w:r>
      <w:r>
        <w:rPr>
          <w:lang w:val="en-GB" w:eastAsia="zh-CN"/>
        </w:rPr>
        <w:t>focused on CSI compression use case, where two-sided model is considered.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AF3527" w14:paraId="01E7944D" w14:textId="77777777">
        <w:tc>
          <w:tcPr>
            <w:tcW w:w="9350" w:type="dxa"/>
          </w:tcPr>
          <w:p w14:paraId="3E97B417" w14:textId="77777777" w:rsidR="00AF3527" w:rsidRDefault="003669F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Study objectives:</w:t>
            </w:r>
          </w:p>
          <w:p w14:paraId="5CE49C69" w14:textId="77777777" w:rsidR="00AF3527" w:rsidRDefault="003669F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CSI feedback enhancement [RAN1]: </w:t>
            </w:r>
          </w:p>
          <w:p w14:paraId="495161FA" w14:textId="77777777" w:rsidR="00AF3527" w:rsidRDefault="003669F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For </w:t>
            </w:r>
            <w:r>
              <w:rPr>
                <w:rFonts w:eastAsia="Calibri"/>
                <w:bCs/>
                <w:highlight w:val="yellow"/>
              </w:rPr>
              <w:t>CSI compression (two-sided model)</w:t>
            </w:r>
            <w:r>
              <w:rPr>
                <w:rFonts w:eastAsia="Calibri"/>
                <w:bCs/>
              </w:rPr>
              <w:t>, further study ways to:</w:t>
            </w:r>
          </w:p>
          <w:p w14:paraId="52289AFF" w14:textId="77777777" w:rsidR="00AF3527" w:rsidRDefault="003669F6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Improve trade-off between performance and </w:t>
            </w:r>
            <w:r>
              <w:rPr>
                <w:rFonts w:eastAsia="Calibri"/>
                <w:bCs/>
              </w:rPr>
              <w:t>complexity/overhead</w:t>
            </w:r>
          </w:p>
          <w:p w14:paraId="7ACF070B" w14:textId="77777777" w:rsidR="00AF3527" w:rsidRDefault="003669F6">
            <w:pPr>
              <w:numPr>
                <w:ilvl w:val="3"/>
                <w:numId w:val="8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734E2C1A" w14:textId="77777777" w:rsidR="00AF3527" w:rsidRDefault="003669F6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/>
                <w:highlight w:val="yellow"/>
              </w:rPr>
              <w:t>Alleviate/resolve is</w:t>
            </w:r>
            <w:r>
              <w:rPr>
                <w:rFonts w:eastAsia="Calibri"/>
                <w:b/>
                <w:highlight w:val="yellow"/>
              </w:rPr>
              <w:t>sues related to inter-vendor training collaboration</w:t>
            </w:r>
            <w:r>
              <w:rPr>
                <w:rFonts w:eastAsia="Calibri"/>
                <w:bCs/>
                <w:highlight w:val="yellow"/>
              </w:rPr>
              <w:t>.</w:t>
            </w:r>
          </w:p>
          <w:p w14:paraId="18FECC12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="Calibri"/>
                <w:bCs/>
              </w:rPr>
              <w:t>while addressing necessary specification impact analysis, as well as, other aspects requiring further study/conclusion as captured in the conclusions section of the TR 38.843.</w:t>
            </w:r>
          </w:p>
        </w:tc>
      </w:tr>
    </w:tbl>
    <w:p w14:paraId="2C310592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RAN1 further made the foll</w:t>
      </w:r>
      <w:r>
        <w:rPr>
          <w:lang w:val="en-GB" w:eastAsia="zh-CN"/>
        </w:rPr>
        <w:t>owing agreements [1]: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AF3527" w14:paraId="3B4E6E28" w14:textId="77777777">
        <w:tc>
          <w:tcPr>
            <w:tcW w:w="9350" w:type="dxa"/>
          </w:tcPr>
          <w:p w14:paraId="6FAF8356" w14:textId="77777777" w:rsidR="00AF3527" w:rsidRDefault="003669F6">
            <w:pPr>
              <w:pStyle w:val="ListParagraph"/>
              <w:numPr>
                <w:ilvl w:val="0"/>
                <w:numId w:val="8"/>
              </w:numPr>
              <w:spacing w:after="180" w:line="240" w:lineRule="auto"/>
              <w:jc w:val="both"/>
            </w:pPr>
            <w:r>
              <w:rPr>
                <w:b/>
                <w:bCs/>
              </w:rPr>
              <w:t>NW-side shares model parameters</w:t>
            </w:r>
            <w:r>
              <w:rPr>
                <w:rFonts w:eastAsia="等线"/>
                <w:b/>
                <w:bCs/>
                <w:lang w:eastAsia="zh-CN"/>
              </w:rPr>
              <w:t xml:space="preserve"> and/or </w:t>
            </w:r>
            <w:r>
              <w:rPr>
                <w:b/>
                <w:bCs/>
              </w:rPr>
              <w:t xml:space="preserve">dataset to the UE or UE-side </w:t>
            </w:r>
            <w:r>
              <w:t xml:space="preserve">via </w:t>
            </w:r>
            <w:r>
              <w:rPr>
                <w:b/>
                <w:bCs/>
              </w:rPr>
              <w:t xml:space="preserve">standardized signaling, </w:t>
            </w:r>
            <w:r>
              <w:t xml:space="preserve">where the model parameters and/or dataset received at the UE or UE-side go through offline engineering at the UE-side (e.g., </w:t>
            </w:r>
            <w:r>
              <w:t>UE-side OTT server)</w:t>
            </w:r>
            <w:r>
              <w:rPr>
                <w:rFonts w:eastAsia="等线"/>
                <w:lang w:eastAsia="zh-CN"/>
              </w:rPr>
              <w:t>, e.g., model (re-)training</w:t>
            </w:r>
            <w:r>
              <w:t>.</w:t>
            </w:r>
          </w:p>
        </w:tc>
      </w:tr>
    </w:tbl>
    <w:p w14:paraId="4AE4CE5F" w14:textId="77777777" w:rsidR="00AF3527" w:rsidRDefault="003669F6">
      <w:pPr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ased on the above agreement, it is clear that network will initiate dataset/model parameter sharing to UE if network configures two-sided model for CSI compression. Moreover, considering gNB and UE have two</w:t>
      </w:r>
      <w:r>
        <w:rPr>
          <w:lang w:val="en-GB" w:eastAsia="zh-CN"/>
        </w:rPr>
        <w:t xml:space="preserve"> different components of the two-sided model, whenever the gNB updates the model, a corresponding update needs to be triggered to ensure the consistency between gNB and UE side model. Therefore, model transfer/delivery of two-sided model should be managed </w:t>
      </w:r>
      <w:r>
        <w:rPr>
          <w:lang w:val="en-GB" w:eastAsia="zh-CN"/>
        </w:rPr>
        <w:t>(i.e. initiated, maintained, controlled) at gNB side.</w:t>
      </w:r>
    </w:p>
    <w:p w14:paraId="46CDE42F" w14:textId="77777777" w:rsidR="00AF3527" w:rsidRDefault="003669F6">
      <w:pPr>
        <w:pStyle w:val="MiniHeading"/>
      </w:pPr>
      <w:r>
        <w:t>A4: Model transfer/delivery QoS</w:t>
      </w:r>
    </w:p>
    <w:p w14:paraId="63B7B876" w14:textId="77777777" w:rsidR="00AF3527" w:rsidRDefault="003669F6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ast but not least, according to RAN1 LS, transferring dataset/model parameters over the air interface is infrequent with relaxed latency requirement for each transmissio</w:t>
      </w:r>
      <w:r>
        <w:rPr>
          <w:lang w:eastAsia="zh-CN"/>
        </w:rPr>
        <w:t>n. Therefore, it does not require a high priority level and/or a short packet delay budget for data transmission.</w:t>
      </w:r>
    </w:p>
    <w:p w14:paraId="1A2C7B75" w14:textId="77777777" w:rsidR="00AF3527" w:rsidRDefault="003669F6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we summarized the following requirement for dataset/model parameter transfer over the air interface. </w:t>
      </w:r>
    </w:p>
    <w:p w14:paraId="37890342" w14:textId="3CD6E23B" w:rsidR="00AF3527" w:rsidRDefault="003669F6">
      <w:pPr>
        <w:pStyle w:val="Obs-prop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C250FD">
        <w:rPr>
          <w:lang w:eastAsia="zh-CN"/>
        </w:rPr>
        <w:t>1</w:t>
      </w:r>
      <w:r>
        <w:rPr>
          <w:lang w:eastAsia="zh-CN"/>
        </w:rPr>
        <w:t>: Bas</w:t>
      </w:r>
      <w:r>
        <w:rPr>
          <w:lang w:eastAsia="zh-CN"/>
        </w:rPr>
        <w:t>ed on RAN1 LS, the following requirement</w:t>
      </w:r>
      <w:r>
        <w:rPr>
          <w:lang w:val="en-US" w:eastAsia="zh-CN"/>
        </w:rPr>
        <w:t xml:space="preserve">s need to be considered when selecting a suitable solution for </w:t>
      </w:r>
      <w:r>
        <w:rPr>
          <w:lang w:eastAsia="zh-CN"/>
        </w:rPr>
        <w:t>model transfer/delivery:</w:t>
      </w:r>
    </w:p>
    <w:p w14:paraId="1E4EC6F5" w14:textId="77777777" w:rsidR="00AF3527" w:rsidRDefault="003669F6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 to 30,000 RRC segments via CP, 300MB packet transmission via UP</w:t>
      </w:r>
    </w:p>
    <w:p w14:paraId="4F335F86" w14:textId="77777777" w:rsidR="00AF3527" w:rsidRDefault="003669F6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Support service continuity across multiple cells/NG-RAN nodes</w:t>
      </w:r>
    </w:p>
    <w:p w14:paraId="00E46C34" w14:textId="77777777" w:rsidR="00AF3527" w:rsidRDefault="003669F6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Model transfer/delivery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two-sided model managed at </w:t>
      </w:r>
      <w:r>
        <w:rPr>
          <w:rFonts w:hint="eastAsia"/>
          <w:lang w:eastAsia="zh-CN"/>
        </w:rPr>
        <w:t>g</w:t>
      </w:r>
      <w:r>
        <w:rPr>
          <w:lang w:eastAsia="zh-CN"/>
        </w:rPr>
        <w:t>NB side</w:t>
      </w:r>
    </w:p>
    <w:p w14:paraId="5617B62B" w14:textId="77777777" w:rsidR="00AF3527" w:rsidRDefault="003669F6">
      <w:pPr>
        <w:pStyle w:val="Obs-prop"/>
        <w:numPr>
          <w:ilvl w:val="0"/>
          <w:numId w:val="7"/>
        </w:numPr>
        <w:rPr>
          <w:lang w:val="en-US" w:eastAsia="zh-CN"/>
        </w:rPr>
      </w:pPr>
      <w:r>
        <w:rPr>
          <w:lang w:eastAsia="zh-CN"/>
        </w:rPr>
        <w:t xml:space="preserve">Low priority level, large packet delay budget and/or low data burst volume </w:t>
      </w:r>
    </w:p>
    <w:p w14:paraId="66B48110" w14:textId="77777777" w:rsidR="00AF3527" w:rsidRDefault="003669F6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easibilty Analysis</w:t>
      </w:r>
    </w:p>
    <w:p w14:paraId="35C82844" w14:textId="77777777" w:rsidR="00AF3527" w:rsidRDefault="003669F6">
      <w:pPr>
        <w:pStyle w:val="MiniHeading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>olution 1a/2a/4b</w:t>
      </w:r>
    </w:p>
    <w:p w14:paraId="5ABD904B" w14:textId="35E2D6F8" w:rsidR="00AF3527" w:rsidRDefault="003669F6">
      <w:pPr>
        <w:rPr>
          <w:lang w:val="en-GB" w:eastAsia="zh-CN"/>
        </w:rPr>
      </w:pPr>
      <w:r>
        <w:rPr>
          <w:lang w:val="en-GB" w:eastAsia="zh-CN"/>
        </w:rPr>
        <w:t xml:space="preserve">Note that current specification only supports </w:t>
      </w:r>
      <w:r>
        <w:rPr>
          <w:u w:val="single"/>
          <w:lang w:val="en-GB" w:eastAsia="zh-CN"/>
        </w:rPr>
        <w:t>up to 9 segments</w:t>
      </w:r>
      <w:r>
        <w:rPr>
          <w:lang w:val="en-GB" w:eastAsia="zh-CN"/>
        </w:rPr>
        <w:t xml:space="preserve"> in </w:t>
      </w:r>
      <w:r>
        <w:rPr>
          <w:lang w:eastAsia="zh-CN"/>
        </w:rPr>
        <w:t>DL</w:t>
      </w:r>
      <w:r>
        <w:rPr>
          <w:lang w:val="en-GB" w:eastAsia="zh-CN"/>
        </w:rPr>
        <w:t xml:space="preserve"> RRC signaling. There’s a clear gap to support </w:t>
      </w:r>
      <w:r>
        <w:rPr>
          <w:u w:val="single"/>
          <w:lang w:val="en-GB" w:eastAsia="zh-CN"/>
        </w:rPr>
        <w:t>30,000 segments</w:t>
      </w:r>
      <w:r>
        <w:rPr>
          <w:lang w:val="en-GB" w:eastAsia="zh-CN"/>
        </w:rPr>
        <w:t xml:space="preserve"> over RRC signaling. Even though network can transmit such massive number of segments in a lower priority SRB (according </w:t>
      </w:r>
      <w:r>
        <w:rPr>
          <w:lang w:val="en-GB" w:eastAsia="zh-CN"/>
        </w:rPr>
        <w:t xml:space="preserve">to QoS requirement), it is still difficult for network to maintain this massive number </w:t>
      </w:r>
      <w:r>
        <w:rPr>
          <w:lang w:val="en-GB" w:eastAsia="zh-CN"/>
        </w:rPr>
        <w:lastRenderedPageBreak/>
        <w:t>of segments. Furthermore, service continuity is currently not supported over CP, where PDCP data forwarding needs to be considered over Xn interface for SRB.</w:t>
      </w:r>
    </w:p>
    <w:p w14:paraId="1FFD4A3C" w14:textId="77777777" w:rsidR="00AF3527" w:rsidRDefault="003669F6">
      <w:pPr>
        <w:rPr>
          <w:lang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s captured</w:t>
      </w:r>
      <w:r>
        <w:rPr>
          <w:lang w:val="en-GB" w:eastAsia="zh-CN"/>
        </w:rPr>
        <w:t xml:space="preserve"> in TR 38.843 [2],</w:t>
      </w:r>
      <w:r>
        <w:t xml:space="preserve"> OAM can transfer/deliver AI/ML models to UE via OAM</w:t>
      </w:r>
      <w:r>
        <w:rPr>
          <w:rFonts w:ascii="Arial" w:hAnsi="Arial" w:cs="Arial"/>
        </w:rPr>
        <w:t>→</w:t>
      </w:r>
      <w:r>
        <w:t>RAN</w:t>
      </w:r>
      <w:r>
        <w:rPr>
          <w:rFonts w:ascii="Arial" w:hAnsi="Arial" w:cs="Arial"/>
        </w:rPr>
        <w:t>→</w:t>
      </w:r>
      <w:r>
        <w:t>UE, where Control Plane (CP) signalling is used for RAN</w:t>
      </w:r>
      <w:r>
        <w:rPr>
          <w:rFonts w:ascii="Arial" w:hAnsi="Arial" w:cs="Arial"/>
        </w:rPr>
        <w:t>→</w:t>
      </w:r>
      <w:r>
        <w:t>UE. Hence, similar impact is also applicable to Solution 4b.</w:t>
      </w:r>
    </w:p>
    <w:p w14:paraId="5315A21C" w14:textId="312C3579" w:rsidR="00AF3527" w:rsidRDefault="003669F6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C250FD">
        <w:rPr>
          <w:lang w:eastAsia="zh-CN"/>
        </w:rPr>
        <w:t>2</w:t>
      </w:r>
      <w:r>
        <w:rPr>
          <w:lang w:eastAsia="zh-CN"/>
        </w:rPr>
        <w:t>: In Solution 1a/2a/4b, it is challenging to suppor</w:t>
      </w:r>
      <w:r>
        <w:rPr>
          <w:lang w:eastAsia="zh-CN"/>
        </w:rPr>
        <w:t xml:space="preserve">t over 30,000 segments </w:t>
      </w:r>
      <w:r>
        <w:rPr>
          <w:lang w:eastAsia="zh-CN"/>
        </w:rPr>
        <w:t xml:space="preserve">PDCP data forwarding </w:t>
      </w:r>
      <w:r>
        <w:rPr>
          <w:lang w:eastAsia="zh-CN"/>
        </w:rPr>
        <w:t>over SRB</w:t>
      </w:r>
      <w:r>
        <w:rPr>
          <w:lang w:eastAsia="zh-CN"/>
        </w:rPr>
        <w:t xml:space="preserve"> for service continuity</w:t>
      </w:r>
      <w:r>
        <w:rPr>
          <w:lang w:eastAsia="zh-CN"/>
        </w:rPr>
        <w:t>, even considering a low priority</w:t>
      </w:r>
      <w:r>
        <w:rPr>
          <w:lang w:eastAsia="zh-CN"/>
        </w:rPr>
        <w:t xml:space="preserve"> SRB</w:t>
      </w:r>
      <w:r>
        <w:rPr>
          <w:lang w:eastAsia="zh-CN"/>
        </w:rPr>
        <w:t>.</w:t>
      </w:r>
    </w:p>
    <w:p w14:paraId="6D6EDE2C" w14:textId="77777777" w:rsidR="00AF3527" w:rsidRDefault="003669F6">
      <w:pPr>
        <w:pStyle w:val="MiniHeading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>olution 1b</w:t>
      </w:r>
    </w:p>
    <w:p w14:paraId="514E38DE" w14:textId="77777777" w:rsidR="00AF3527" w:rsidRDefault="003669F6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 xml:space="preserve">he main challenge in Solution 1b is </w:t>
      </w:r>
      <w:r>
        <w:rPr>
          <w:lang w:val="en-GB"/>
        </w:rPr>
        <w:t>supporting establishment of a PDU terminating at gNB.</w:t>
      </w:r>
    </w:p>
    <w:p w14:paraId="40E8724B" w14:textId="77777777" w:rsidR="00AF3527" w:rsidRDefault="003669F6">
      <w:pPr>
        <w:widowControl w:val="0"/>
        <w:overflowPunct/>
        <w:spacing w:after="0"/>
        <w:rPr>
          <w:lang w:eastAsia="zh-CN"/>
        </w:rPr>
      </w:pPr>
      <w:r>
        <w:rPr>
          <w:lang w:val="en-GB"/>
        </w:rPr>
        <w:t xml:space="preserve">According to TS 38.413 [3], </w:t>
      </w:r>
      <w:r>
        <w:rPr>
          <w:lang w:eastAsia="zh-CN"/>
        </w:rPr>
        <w:t>the AMF initiates the PDU session establishment procedure by sending a PDU SESSION RESOURCE SETUP REQUEST message to the NG-RAN node. If resources are available for the</w:t>
      </w:r>
    </w:p>
    <w:p w14:paraId="30757253" w14:textId="77777777" w:rsidR="00AF3527" w:rsidRDefault="003669F6">
      <w:pPr>
        <w:widowControl w:val="0"/>
        <w:overflowPunct/>
        <w:spacing w:after="0"/>
        <w:rPr>
          <w:lang w:val="en-GB"/>
        </w:rPr>
      </w:pPr>
      <w:r>
        <w:rPr>
          <w:lang w:eastAsia="zh-CN"/>
        </w:rPr>
        <w:t>reque</w:t>
      </w:r>
      <w:r>
        <w:rPr>
          <w:lang w:eastAsia="zh-CN"/>
        </w:rPr>
        <w:t>sted configuration, the NG-RAN node shall execute the requested NG-RAN configuration and allocate associated resources over NG and over Uu for each PDU session. However, such PDU session setup cannot be self-initiated or requested by NG-RAN node.</w:t>
      </w:r>
    </w:p>
    <w:p w14:paraId="24AFB425" w14:textId="77777777" w:rsidR="00AF3527" w:rsidRDefault="003669F6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>
            <wp:extent cx="3509645" cy="14560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8688" cy="146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A8B1" w14:textId="77777777" w:rsidR="00AF3527" w:rsidRDefault="003669F6">
      <w:pPr>
        <w:rPr>
          <w:lang w:val="en-GB" w:eastAsia="zh-CN"/>
        </w:rPr>
      </w:pPr>
      <w:r>
        <w:t xml:space="preserve">During </w:t>
      </w:r>
      <w:r>
        <w:t>Rel-18 SI discussion, o</w:t>
      </w:r>
      <w:r>
        <w:rPr>
          <w:lang w:val="en-GB"/>
        </w:rPr>
        <w:t>ne way is to let gNB send an indication to CN and ask for assistance to establishment a PDU session. However, the feasibility of such approach needs to be further evaluated by SA2.</w:t>
      </w:r>
    </w:p>
    <w:p w14:paraId="78BA3915" w14:textId="59290869" w:rsidR="00AF3527" w:rsidRDefault="003669F6">
      <w:pPr>
        <w:pStyle w:val="Obs-prop"/>
      </w:pPr>
      <w:r>
        <w:rPr>
          <w:rFonts w:hint="eastAsia"/>
        </w:rPr>
        <w:t>O</w:t>
      </w:r>
      <w:r>
        <w:t xml:space="preserve">bservation </w:t>
      </w:r>
      <w:r w:rsidR="00C250FD">
        <w:t>3</w:t>
      </w:r>
      <w:r>
        <w:t>: In Solution 1b, it is up to SA2 on wh</w:t>
      </w:r>
      <w:r>
        <w:t>ether PDU session setup can be requested by NG-RAN node.</w:t>
      </w:r>
    </w:p>
    <w:p w14:paraId="1B2CCFF8" w14:textId="77777777" w:rsidR="00AF3527" w:rsidRDefault="003669F6">
      <w:pPr>
        <w:pStyle w:val="MiniHeading"/>
        <w:rPr>
          <w:lang w:val="en-GB"/>
        </w:rPr>
      </w:pPr>
      <w:r>
        <w:rPr>
          <w:lang w:val="en-GB"/>
        </w:rPr>
        <w:t>Solution 2b</w:t>
      </w:r>
    </w:p>
    <w:p w14:paraId="213321F4" w14:textId="77777777" w:rsidR="00AF3527" w:rsidRDefault="003669F6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t is straightforward that Solution 2b as a user plane solution can naturally support large packet size (e.g. 300MB). As required by RAN1, dataset/model parameter transfer does not need a</w:t>
      </w:r>
      <w:r>
        <w:rPr>
          <w:lang w:val="en-GB" w:eastAsia="zh-CN"/>
        </w:rPr>
        <w:t xml:space="preserve"> high priority level with urgent transmission over air interface. We noticed that there’s a new 5QI introduced for intelligent transport system in TS 23.501 [4]. However, the two-sided model transfer could be different from those intelligent transport syst</w:t>
      </w:r>
      <w:r>
        <w:rPr>
          <w:lang w:val="en-GB" w:eastAsia="zh-CN"/>
        </w:rPr>
        <w:t xml:space="preserve">ems, considering the model only needs to be updated daily or weekly. </w:t>
      </w:r>
    </w:p>
    <w:p w14:paraId="41AA64B5" w14:textId="77777777" w:rsidR="00AF3527" w:rsidRDefault="003669F6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>
            <wp:extent cx="5943600" cy="4146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65024" w14:textId="77777777" w:rsidR="00AF3527" w:rsidRDefault="003669F6">
      <w:pPr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>owever</w:t>
      </w:r>
      <w:r>
        <w:rPr>
          <w:lang w:eastAsia="zh-CN"/>
        </w:rPr>
        <w:t>, recalling that</w:t>
      </w:r>
      <w:r>
        <w:rPr>
          <w:lang w:val="en-GB" w:eastAsia="zh-CN"/>
        </w:rPr>
        <w:t xml:space="preserve"> this model transfer/delivery procedure is managed by gNB, some necessary enhancements between gNB and CN are needed to initiate/maintain model transfer/delivery</w:t>
      </w:r>
      <w:r>
        <w:rPr>
          <w:lang w:val="en-GB" w:eastAsia="zh-CN"/>
        </w:rPr>
        <w:t xml:space="preserve"> procedure over NG interface. Furthermore, whether CN is suitable to store/transfer gNB-side model for air interface purpose needs to be further checked with SA2.</w:t>
      </w:r>
    </w:p>
    <w:p w14:paraId="5E9D4D7E" w14:textId="3B200AED" w:rsidR="00AF3527" w:rsidRDefault="003669F6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C250FD">
        <w:rPr>
          <w:lang w:eastAsia="zh-CN"/>
        </w:rPr>
        <w:t>4</w:t>
      </w:r>
      <w:r>
        <w:rPr>
          <w:lang w:eastAsia="zh-CN"/>
        </w:rPr>
        <w:t xml:space="preserve">: In Solution 2b, </w:t>
      </w:r>
      <w:r>
        <w:rPr>
          <w:lang w:eastAsia="zh-CN"/>
        </w:rPr>
        <w:t xml:space="preserve">there’s </w:t>
      </w:r>
      <w:r>
        <w:rPr>
          <w:lang w:eastAsia="zh-CN"/>
        </w:rPr>
        <w:t>less specification impact of defining a new 5QI value, but sig</w:t>
      </w:r>
      <w:r>
        <w:rPr>
          <w:lang w:eastAsia="zh-CN"/>
        </w:rPr>
        <w:t xml:space="preserve">nalling overhead </w:t>
      </w:r>
      <w:r>
        <w:rPr>
          <w:lang w:eastAsia="zh-CN"/>
        </w:rPr>
        <w:t xml:space="preserve"> may be introduced to support gNB controllability where model is transferred from CN.</w:t>
      </w:r>
    </w:p>
    <w:p w14:paraId="65EE6A56" w14:textId="77777777" w:rsidR="00AF3527" w:rsidRDefault="003669F6">
      <w:pPr>
        <w:pStyle w:val="MiniHeading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>olution 4a</w:t>
      </w:r>
    </w:p>
    <w:p w14:paraId="06724D8C" w14:textId="77777777" w:rsidR="00AF3527" w:rsidRDefault="003669F6">
      <w:pPr>
        <w:rPr>
          <w:lang w:val="en-GB" w:eastAsia="zh-CN"/>
        </w:rPr>
      </w:pPr>
      <w:r>
        <w:rPr>
          <w:lang w:val="en-GB" w:eastAsia="zh-CN"/>
        </w:rPr>
        <w:t>It was captured in TR38.843 [2] with the following RAN impacts: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4531"/>
        <w:gridCol w:w="4820"/>
      </w:tblGrid>
      <w:tr w:rsidR="00AF3527" w14:paraId="2E885625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15A157" w14:textId="77777777" w:rsidR="00AF3527" w:rsidRDefault="003669F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Discussion Area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DB6A42" w14:textId="77777777" w:rsidR="00AF3527" w:rsidRDefault="003669F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Potential RAN specification impact</w:t>
            </w:r>
          </w:p>
        </w:tc>
      </w:tr>
      <w:tr w:rsidR="00AF3527" w14:paraId="6CCA1F1B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00F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A1. </w:t>
            </w:r>
            <w:r>
              <w:rPr>
                <w:rFonts w:ascii="Arial" w:eastAsia="Calibri" w:hAnsi="Arial" w:cs="Arial"/>
                <w:sz w:val="18"/>
                <w:szCs w:val="18"/>
              </w:rPr>
              <w:t>Large, no upper limit model/model parameter size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865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 RAN impact</w:t>
            </w:r>
          </w:p>
        </w:tc>
      </w:tr>
      <w:tr w:rsidR="00AF3527" w14:paraId="64BAA18D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34A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Style w:val="cf01"/>
                <w:rFonts w:ascii="Arial" w:eastAsia="Calibri" w:hAnsi="Arial" w:cs="Arial"/>
              </w:rPr>
              <w:lastRenderedPageBreak/>
              <w:t>A2. Model transfer/delivery continuity (i.e., resume transmission of model (segments) across gNBs)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7B0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Note: supporting service continuity across LMF is out of RAN scope</w:t>
            </w:r>
          </w:p>
        </w:tc>
      </w:tr>
      <w:tr w:rsidR="00AF3527" w14:paraId="0C3D6843" w14:textId="77777777">
        <w:trPr>
          <w:trHeight w:val="8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D86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Style w:val="cf01"/>
                <w:rFonts w:ascii="Arial" w:eastAsia="Calibri" w:hAnsi="Arial" w:cs="Arial"/>
              </w:rPr>
              <w:t>A3. Network controllabili</w:t>
            </w:r>
            <w:r>
              <w:rPr>
                <w:rStyle w:val="cf01"/>
                <w:rFonts w:ascii="Arial" w:eastAsia="Calibri" w:hAnsi="Arial" w:cs="Arial"/>
              </w:rPr>
              <w:t>ty on model transfer/delivery and management at gNB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ED3" w14:textId="77777777" w:rsidR="00AF3527" w:rsidRDefault="003669F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Requires management and model transfer interaction between OTT server and gNB when model management at gNB</w:t>
            </w:r>
          </w:p>
          <w:p w14:paraId="34C172C5" w14:textId="77777777" w:rsidR="00AF3527" w:rsidRDefault="003669F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Note: it is unclear whether this is within RAN scope</w:t>
            </w:r>
          </w:p>
          <w:p w14:paraId="7C5CB94B" w14:textId="77777777" w:rsidR="00AF3527" w:rsidRDefault="003669F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Requires interaction between UE and </w:t>
            </w:r>
            <w:r>
              <w:rPr>
                <w:rFonts w:ascii="Arial" w:hAnsi="Arial" w:cs="Arial"/>
                <w:sz w:val="18"/>
                <w:szCs w:val="18"/>
              </w:rPr>
              <w:t>gNB for the network controllability of the model transfer/delivery (e.g., model identification, model transfer completion, etc.) if management is in gNB</w:t>
            </w:r>
          </w:p>
        </w:tc>
      </w:tr>
      <w:tr w:rsidR="00AF3527" w14:paraId="7B4F1E28" w14:textId="777777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91D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Style w:val="cf01"/>
                <w:rFonts w:ascii="Arial" w:eastAsia="Calibri" w:hAnsi="Arial" w:cs="Arial"/>
              </w:rPr>
              <w:t>A4. Model transfer/delivery QoS (for DRB) (including latency, etc.) and priority (for SRB)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EE8" w14:textId="77777777" w:rsidR="00AF3527" w:rsidRDefault="003669F6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Note: The d</w:t>
            </w:r>
            <w:r>
              <w:rPr>
                <w:rFonts w:ascii="Arial" w:eastAsia="Calibri" w:hAnsi="Arial" w:cs="Arial"/>
                <w:sz w:val="18"/>
                <w:szCs w:val="18"/>
              </w:rPr>
              <w:t>etail QoS requirement for model transfer/delivery of solution 4a is out of RAN scope</w:t>
            </w:r>
          </w:p>
        </w:tc>
      </w:tr>
    </w:tbl>
    <w:p w14:paraId="2544E99B" w14:textId="77777777" w:rsidR="00AF3527" w:rsidRDefault="003669F6">
      <w:pPr>
        <w:rPr>
          <w:lang w:val="en-GB" w:eastAsia="zh-CN"/>
        </w:rPr>
      </w:pPr>
      <w:r>
        <w:rPr>
          <w:lang w:eastAsia="zh-CN"/>
        </w:rPr>
        <w:t>It is noticed that the only impact from RAN point of view is the management for model transfer/delivery. Based on our understanding, Solution 4a can be modeled as: gNB -&gt;</w:t>
      </w:r>
      <w:r>
        <w:rPr>
          <w:lang w:eastAsia="zh-CN"/>
        </w:rPr>
        <w:t xml:space="preserve"> gNB server (two-sided model training and storage) -&gt; UE OTT server -&gt; UE, where management of model transfer/delivery is controlled by gNB towards gNB-side server by implementation. Moreover, gNB server and UE OTT server can also be connected based on IP </w:t>
      </w:r>
      <w:r>
        <w:rPr>
          <w:lang w:eastAsia="zh-CN"/>
        </w:rPr>
        <w:t xml:space="preserve">tunnel, which can be purely transparent to </w:t>
      </w:r>
      <w:r>
        <w:rPr>
          <w:rFonts w:hint="eastAsia"/>
          <w:lang w:eastAsia="zh-CN"/>
        </w:rPr>
        <w:t>3GPP</w:t>
      </w:r>
      <w:r>
        <w:rPr>
          <w:lang w:eastAsia="zh-CN"/>
        </w:rPr>
        <w:t xml:space="preserve"> network. In the end, since UE OTT server is in the application layer, either transmitting dataset/model parameter over non-3GPP method or via application layer could be feasible.</w:t>
      </w:r>
    </w:p>
    <w:p w14:paraId="5FC2A990" w14:textId="7FCF6185" w:rsidR="00AF3527" w:rsidRDefault="003669F6">
      <w:pPr>
        <w:rPr>
          <w:lang w:val="en-GB" w:eastAsia="zh-CN"/>
        </w:rPr>
      </w:pPr>
      <w:r>
        <w:rPr>
          <w:lang w:val="en-GB" w:eastAsia="zh-CN"/>
        </w:rPr>
        <w:t>In summary, below table summa</w:t>
      </w:r>
      <w:r>
        <w:rPr>
          <w:lang w:val="en-GB" w:eastAsia="zh-CN"/>
        </w:rPr>
        <w:t>rizes the feasibility analysis of RAN2 agreed solutions.</w:t>
      </w:r>
    </w:p>
    <w:p w14:paraId="51DD1BA2" w14:textId="0AC2F389" w:rsidR="00C250FD" w:rsidRDefault="00C250FD" w:rsidP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2: RAN2 captures below table in TR 38.843.</w:t>
      </w:r>
    </w:p>
    <w:tbl>
      <w:tblPr>
        <w:tblStyle w:val="TableGrid"/>
        <w:tblpPr w:leftFromText="180" w:rightFromText="180" w:vertAnchor="text" w:horzAnchor="margin" w:tblpY="-41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559"/>
        <w:gridCol w:w="1418"/>
        <w:gridCol w:w="1559"/>
        <w:gridCol w:w="1275"/>
        <w:gridCol w:w="1418"/>
      </w:tblGrid>
      <w:tr w:rsidR="00AF3527" w14:paraId="1A8F915C" w14:textId="77777777">
        <w:tc>
          <w:tcPr>
            <w:tcW w:w="704" w:type="dxa"/>
          </w:tcPr>
          <w:p w14:paraId="49EFD360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</w:tcPr>
          <w:p w14:paraId="108CF074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1a</w:t>
            </w:r>
          </w:p>
          <w:p w14:paraId="09F15F2C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CP via RRC)</w:t>
            </w:r>
          </w:p>
        </w:tc>
        <w:tc>
          <w:tcPr>
            <w:tcW w:w="1559" w:type="dxa"/>
          </w:tcPr>
          <w:p w14:paraId="0BDCC3F9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2a</w:t>
            </w:r>
          </w:p>
          <w:p w14:paraId="2F56E8A5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CP via NAS)</w:t>
            </w:r>
          </w:p>
        </w:tc>
        <w:tc>
          <w:tcPr>
            <w:tcW w:w="1418" w:type="dxa"/>
          </w:tcPr>
          <w:p w14:paraId="3427DCD5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1b</w:t>
            </w:r>
          </w:p>
          <w:p w14:paraId="784F9784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UP terminated at gNB)</w:t>
            </w:r>
          </w:p>
        </w:tc>
        <w:tc>
          <w:tcPr>
            <w:tcW w:w="1559" w:type="dxa"/>
          </w:tcPr>
          <w:p w14:paraId="20748F60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2b</w:t>
            </w:r>
          </w:p>
          <w:p w14:paraId="32AD296C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UP terminated at CN)</w:t>
            </w:r>
          </w:p>
        </w:tc>
        <w:tc>
          <w:tcPr>
            <w:tcW w:w="1275" w:type="dxa"/>
          </w:tcPr>
          <w:p w14:paraId="381ADC04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4a</w:t>
            </w:r>
          </w:p>
          <w:p w14:paraId="79775FBD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OTT server - UE)</w:t>
            </w:r>
          </w:p>
        </w:tc>
        <w:tc>
          <w:tcPr>
            <w:tcW w:w="1418" w:type="dxa"/>
          </w:tcPr>
          <w:p w14:paraId="73A0D124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4b</w:t>
            </w:r>
          </w:p>
          <w:p w14:paraId="7B84391A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OAM-gNB-UE)</w:t>
            </w:r>
          </w:p>
        </w:tc>
      </w:tr>
      <w:tr w:rsidR="00AF3527" w14:paraId="03FD857D" w14:textId="77777777">
        <w:trPr>
          <w:trHeight w:val="248"/>
        </w:trPr>
        <w:tc>
          <w:tcPr>
            <w:tcW w:w="704" w:type="dxa"/>
          </w:tcPr>
          <w:p w14:paraId="10C83417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1</w:t>
            </w:r>
          </w:p>
        </w:tc>
        <w:tc>
          <w:tcPr>
            <w:tcW w:w="2977" w:type="dxa"/>
            <w:gridSpan w:val="2"/>
          </w:tcPr>
          <w:p w14:paraId="6B831CA3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FF0000"/>
                <w:lang w:val="en-GB" w:eastAsia="zh-CN"/>
              </w:rPr>
              <w:t xml:space="preserve">Challenging </w:t>
            </w:r>
            <w:r>
              <w:rPr>
                <w:rFonts w:eastAsiaTheme="minorEastAsia"/>
                <w:lang w:val="en-GB" w:eastAsia="zh-CN"/>
              </w:rPr>
              <w:t>due to massive number of segments</w:t>
            </w:r>
          </w:p>
          <w:p w14:paraId="1FEE8198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25,000 segments for Option 4-1;</w:t>
            </w:r>
          </w:p>
          <w:p w14:paraId="1BEE58BF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1,288 segments for Option 3a-1 without parameter;</w:t>
            </w:r>
          </w:p>
          <w:p w14:paraId="21CF5787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26,288 segments for Option 3a-1 with parameter)</w:t>
            </w:r>
          </w:p>
        </w:tc>
        <w:tc>
          <w:tcPr>
            <w:tcW w:w="2977" w:type="dxa"/>
            <w:gridSpan w:val="2"/>
          </w:tcPr>
          <w:p w14:paraId="2A5D9C1A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>upported</w:t>
            </w:r>
          </w:p>
        </w:tc>
        <w:tc>
          <w:tcPr>
            <w:tcW w:w="1275" w:type="dxa"/>
            <w:vMerge w:val="restart"/>
            <w:vAlign w:val="center"/>
          </w:tcPr>
          <w:p w14:paraId="643A64EA" w14:textId="77777777" w:rsidR="00AF3527" w:rsidRDefault="003669F6">
            <w:pPr>
              <w:jc w:val="center"/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Transparent to 3GPP</w:t>
            </w:r>
          </w:p>
        </w:tc>
        <w:tc>
          <w:tcPr>
            <w:tcW w:w="1418" w:type="dxa"/>
            <w:vMerge w:val="restart"/>
            <w:vAlign w:val="center"/>
          </w:tcPr>
          <w:p w14:paraId="2F3E4C2F" w14:textId="77777777" w:rsidR="00AF3527" w:rsidRDefault="003669F6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Same as Solution 1a/2a</w:t>
            </w:r>
          </w:p>
        </w:tc>
      </w:tr>
      <w:tr w:rsidR="00AF3527" w14:paraId="3A430AC9" w14:textId="77777777">
        <w:trPr>
          <w:trHeight w:val="325"/>
        </w:trPr>
        <w:tc>
          <w:tcPr>
            <w:tcW w:w="704" w:type="dxa"/>
          </w:tcPr>
          <w:p w14:paraId="2FF6BACB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2</w:t>
            </w:r>
          </w:p>
        </w:tc>
        <w:tc>
          <w:tcPr>
            <w:tcW w:w="2977" w:type="dxa"/>
            <w:gridSpan w:val="2"/>
          </w:tcPr>
          <w:p w14:paraId="2768C1EF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 xml:space="preserve">Can be </w:t>
            </w:r>
            <w:r>
              <w:rPr>
                <w:rFonts w:eastAsiaTheme="minorEastAsia"/>
                <w:color w:val="00B050"/>
                <w:lang w:val="en-GB" w:eastAsia="zh-CN"/>
              </w:rPr>
              <w:t>supported</w:t>
            </w:r>
            <w:r>
              <w:rPr>
                <w:rFonts w:eastAsiaTheme="minorEastAsia"/>
                <w:lang w:val="en-GB" w:eastAsia="zh-CN"/>
              </w:rPr>
              <w:t xml:space="preserve"> by enhancing PDCP data forwarding in SRB</w:t>
            </w:r>
          </w:p>
        </w:tc>
        <w:tc>
          <w:tcPr>
            <w:tcW w:w="1418" w:type="dxa"/>
          </w:tcPr>
          <w:p w14:paraId="78E4AC89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PDU terminated at gNB is not supported and </w:t>
            </w: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559" w:type="dxa"/>
          </w:tcPr>
          <w:p w14:paraId="77BC053E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>upported</w:t>
            </w:r>
          </w:p>
        </w:tc>
        <w:tc>
          <w:tcPr>
            <w:tcW w:w="1275" w:type="dxa"/>
            <w:vMerge/>
          </w:tcPr>
          <w:p w14:paraId="032216EF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4DD68898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</w:tr>
      <w:tr w:rsidR="00AF3527" w14:paraId="4D370379" w14:textId="77777777">
        <w:tc>
          <w:tcPr>
            <w:tcW w:w="704" w:type="dxa"/>
          </w:tcPr>
          <w:p w14:paraId="39018A26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3</w:t>
            </w:r>
          </w:p>
        </w:tc>
        <w:tc>
          <w:tcPr>
            <w:tcW w:w="1418" w:type="dxa"/>
          </w:tcPr>
          <w:p w14:paraId="0B1DB870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 xml:space="preserve">upported </w:t>
            </w:r>
            <w:r>
              <w:rPr>
                <w:rFonts w:eastAsiaTheme="minorEastAsia"/>
                <w:lang w:val="en-GB" w:eastAsia="zh-CN"/>
              </w:rPr>
              <w:t>via RRC signaling</w:t>
            </w:r>
          </w:p>
        </w:tc>
        <w:tc>
          <w:tcPr>
            <w:tcW w:w="1559" w:type="dxa"/>
          </w:tcPr>
          <w:p w14:paraId="0E3951FE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>Can be supported</w:t>
            </w:r>
            <w:r>
              <w:rPr>
                <w:rFonts w:eastAsiaTheme="minorEastAsia"/>
                <w:lang w:val="en-GB" w:eastAsia="zh-CN"/>
              </w:rPr>
              <w:t xml:space="preserve"> by defining gNB and CN interface for model transfer/delivery management</w:t>
            </w:r>
          </w:p>
        </w:tc>
        <w:tc>
          <w:tcPr>
            <w:tcW w:w="1418" w:type="dxa"/>
          </w:tcPr>
          <w:p w14:paraId="480B44AE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upported via RRC signaling</w:t>
            </w:r>
          </w:p>
        </w:tc>
        <w:tc>
          <w:tcPr>
            <w:tcW w:w="1559" w:type="dxa"/>
          </w:tcPr>
          <w:p w14:paraId="7356A505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Can be supported by defining gNB and CN interface for model transfer/delivery management</w:t>
            </w:r>
          </w:p>
        </w:tc>
        <w:tc>
          <w:tcPr>
            <w:tcW w:w="1275" w:type="dxa"/>
            <w:vMerge/>
          </w:tcPr>
          <w:p w14:paraId="5E059A8A" w14:textId="77777777" w:rsidR="00AF3527" w:rsidRDefault="00AF3527">
            <w:pPr>
              <w:rPr>
                <w:rFonts w:eastAsiaTheme="minorEastAsia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1806855D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</w:tr>
      <w:tr w:rsidR="00AF3527" w14:paraId="40EAB238" w14:textId="77777777">
        <w:tc>
          <w:tcPr>
            <w:tcW w:w="704" w:type="dxa"/>
          </w:tcPr>
          <w:p w14:paraId="528D05C2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4</w:t>
            </w:r>
          </w:p>
        </w:tc>
        <w:tc>
          <w:tcPr>
            <w:tcW w:w="2977" w:type="dxa"/>
            <w:gridSpan w:val="2"/>
          </w:tcPr>
          <w:p w14:paraId="0722C44A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 xml:space="preserve">Can be supported </w:t>
            </w:r>
            <w:r>
              <w:rPr>
                <w:rFonts w:eastAsiaTheme="minorEastAsia"/>
                <w:lang w:val="en-GB" w:eastAsia="zh-CN"/>
              </w:rPr>
              <w:t>by low priority SRB</w:t>
            </w:r>
          </w:p>
        </w:tc>
        <w:tc>
          <w:tcPr>
            <w:tcW w:w="2977" w:type="dxa"/>
            <w:gridSpan w:val="2"/>
          </w:tcPr>
          <w:p w14:paraId="5BD0F212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 xml:space="preserve">Can be supported </w:t>
            </w:r>
            <w:r>
              <w:rPr>
                <w:rFonts w:eastAsiaTheme="minorEastAsia"/>
                <w:lang w:val="en-GB" w:eastAsia="zh-CN"/>
              </w:rPr>
              <w:t>by defining a new 5QI for relaxed latency and infrequent model transfer/delivery</w:t>
            </w:r>
          </w:p>
        </w:tc>
        <w:tc>
          <w:tcPr>
            <w:tcW w:w="1275" w:type="dxa"/>
            <w:vMerge/>
          </w:tcPr>
          <w:p w14:paraId="79E3764D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263E590B" w14:textId="77777777" w:rsidR="00AF3527" w:rsidRDefault="00AF3527">
            <w:pPr>
              <w:rPr>
                <w:rFonts w:eastAsia="Calibri"/>
                <w:lang w:val="en-GB" w:eastAsia="zh-CN"/>
              </w:rPr>
            </w:pPr>
          </w:p>
        </w:tc>
      </w:tr>
      <w:tr w:rsidR="00AF3527" w14:paraId="560E786A" w14:textId="77777777">
        <w:tc>
          <w:tcPr>
            <w:tcW w:w="704" w:type="dxa"/>
          </w:tcPr>
          <w:p w14:paraId="06C3E32B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ummary</w:t>
            </w:r>
          </w:p>
        </w:tc>
        <w:tc>
          <w:tcPr>
            <w:tcW w:w="1418" w:type="dxa"/>
          </w:tcPr>
          <w:p w14:paraId="23EE8D6A" w14:textId="77777777" w:rsidR="00AF3527" w:rsidRDefault="003669F6">
            <w:pPr>
              <w:rPr>
                <w:rFonts w:eastAsiaTheme="minorEastAsia"/>
                <w:color w:val="FF0000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 xml:space="preserve">hallenging </w:t>
            </w:r>
          </w:p>
        </w:tc>
        <w:tc>
          <w:tcPr>
            <w:tcW w:w="1559" w:type="dxa"/>
          </w:tcPr>
          <w:p w14:paraId="11B3D61B" w14:textId="77777777" w:rsidR="00AF3527" w:rsidRDefault="003669F6">
            <w:pPr>
              <w:rPr>
                <w:rFonts w:eastAsiaTheme="minorEastAsia"/>
                <w:color w:val="FF0000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>hallenging</w:t>
            </w:r>
          </w:p>
        </w:tc>
        <w:tc>
          <w:tcPr>
            <w:tcW w:w="1418" w:type="dxa"/>
          </w:tcPr>
          <w:p w14:paraId="3B297EEF" w14:textId="77777777" w:rsidR="00AF3527" w:rsidRDefault="003669F6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559" w:type="dxa"/>
          </w:tcPr>
          <w:p w14:paraId="41F76859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275" w:type="dxa"/>
          </w:tcPr>
          <w:p w14:paraId="4B6AE9C9" w14:textId="77777777" w:rsidR="00AF3527" w:rsidRDefault="003669F6">
            <w:pPr>
              <w:rPr>
                <w:rFonts w:eastAsiaTheme="minorEastAsia"/>
                <w:color w:val="00B050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F</w:t>
            </w:r>
            <w:r>
              <w:rPr>
                <w:rFonts w:eastAsiaTheme="minorEastAsia"/>
                <w:color w:val="00B050"/>
                <w:lang w:val="en-GB" w:eastAsia="zh-CN"/>
              </w:rPr>
              <w:t>easible</w:t>
            </w:r>
          </w:p>
        </w:tc>
        <w:tc>
          <w:tcPr>
            <w:tcW w:w="1418" w:type="dxa"/>
          </w:tcPr>
          <w:p w14:paraId="5F979A7C" w14:textId="77777777" w:rsidR="00AF3527" w:rsidRDefault="003669F6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>hallenging</w:t>
            </w:r>
          </w:p>
        </w:tc>
      </w:tr>
    </w:tbl>
    <w:p w14:paraId="042E4D88" w14:textId="77777777" w:rsidR="00AF3527" w:rsidRDefault="00AF3527">
      <w:pPr>
        <w:rPr>
          <w:lang w:eastAsia="zh-CN"/>
        </w:rPr>
      </w:pPr>
    </w:p>
    <w:p w14:paraId="7F6117C5" w14:textId="12319EC3" w:rsidR="00AF3527" w:rsidRDefault="003669F6">
      <w:pPr>
        <w:pStyle w:val="Obs-prop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C250FD">
        <w:rPr>
          <w:lang w:eastAsia="zh-CN"/>
        </w:rPr>
        <w:t>3</w:t>
      </w:r>
      <w:r>
        <w:rPr>
          <w:lang w:eastAsia="zh-CN"/>
        </w:rPr>
        <w:t>: RAN2 provides below feasibility analysis to RAN1:</w:t>
      </w:r>
    </w:p>
    <w:p w14:paraId="4AD9D7B4" w14:textId="77777777" w:rsidR="00AF3527" w:rsidRDefault="003669F6">
      <w:pPr>
        <w:pStyle w:val="Obs-prop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</w:t>
      </w:r>
      <w:r>
        <w:rPr>
          <w:lang w:eastAsia="zh-CN"/>
        </w:rPr>
        <w:t>feasible to use Solution 4a to support all options from RAN1. The feasibility of other solutions is provided as below:</w:t>
      </w:r>
    </w:p>
    <w:tbl>
      <w:tblPr>
        <w:tblStyle w:val="TableGrid1"/>
        <w:tblW w:w="892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266"/>
        <w:gridCol w:w="2977"/>
        <w:gridCol w:w="2551"/>
        <w:gridCol w:w="2127"/>
      </w:tblGrid>
      <w:tr w:rsidR="00AF3527" w14:paraId="686B14A0" w14:textId="77777777">
        <w:trPr>
          <w:trHeight w:val="989"/>
        </w:trPr>
        <w:tc>
          <w:tcPr>
            <w:tcW w:w="1266" w:type="dxa"/>
          </w:tcPr>
          <w:p w14:paraId="2234E70A" w14:textId="77777777" w:rsidR="00AF3527" w:rsidRDefault="00AF3527">
            <w:pPr>
              <w:rPr>
                <w:rFonts w:eastAsia="MS Mincho"/>
                <w:lang w:eastAsia="zh-CN"/>
              </w:rPr>
            </w:pPr>
          </w:p>
        </w:tc>
        <w:tc>
          <w:tcPr>
            <w:tcW w:w="2977" w:type="dxa"/>
          </w:tcPr>
          <w:p w14:paraId="62902B85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4-1</w:t>
            </w:r>
            <w:r>
              <w:rPr>
                <w:rFonts w:eastAsia="MS Mincho"/>
                <w:lang w:eastAsia="zh-CN"/>
              </w:rPr>
              <w:t>: sharing {target CSI, CSI feedback} dataset</w:t>
            </w:r>
          </w:p>
          <w:p w14:paraId="4FE272B2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225MB)</w:t>
            </w:r>
          </w:p>
        </w:tc>
        <w:tc>
          <w:tcPr>
            <w:tcW w:w="2551" w:type="dxa"/>
          </w:tcPr>
          <w:p w14:paraId="3D56E74A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3a-1 without target CSI</w:t>
            </w:r>
            <w:r>
              <w:rPr>
                <w:rFonts w:eastAsia="MS Mincho"/>
                <w:lang w:eastAsia="zh-CN"/>
              </w:rPr>
              <w:t xml:space="preserve">: sharing encoder </w:t>
            </w:r>
            <w:r>
              <w:rPr>
                <w:rFonts w:eastAsia="MS Mincho"/>
                <w:lang w:eastAsia="zh-CN"/>
              </w:rPr>
              <w:t>parameter</w:t>
            </w:r>
          </w:p>
          <w:p w14:paraId="49F3C671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11.6MB)</w:t>
            </w:r>
          </w:p>
        </w:tc>
        <w:tc>
          <w:tcPr>
            <w:tcW w:w="2127" w:type="dxa"/>
          </w:tcPr>
          <w:p w14:paraId="2810BE9C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3a-1 with target CSI</w:t>
            </w:r>
            <w:r>
              <w:rPr>
                <w:rFonts w:eastAsia="MS Mincho"/>
                <w:lang w:eastAsia="zh-CN"/>
              </w:rPr>
              <w:t>: sharing encoder parameters, along with {target CSI} dataset</w:t>
            </w:r>
          </w:p>
          <w:p w14:paraId="256D2D2E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161.6MB)</w:t>
            </w:r>
          </w:p>
        </w:tc>
      </w:tr>
      <w:tr w:rsidR="00AF3527" w14:paraId="401B3F66" w14:textId="77777777">
        <w:trPr>
          <w:trHeight w:val="371"/>
        </w:trPr>
        <w:tc>
          <w:tcPr>
            <w:tcW w:w="1266" w:type="dxa"/>
            <w:vMerge w:val="restart"/>
          </w:tcPr>
          <w:p w14:paraId="6F0332F0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1a (CP – gNB)</w:t>
            </w:r>
          </w:p>
          <w:p w14:paraId="68C601D8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lastRenderedPageBreak/>
              <w:t>Solution 2a (CP – CN)</w:t>
            </w:r>
          </w:p>
        </w:tc>
        <w:tc>
          <w:tcPr>
            <w:tcW w:w="2977" w:type="dxa"/>
          </w:tcPr>
          <w:p w14:paraId="0F41A199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lastRenderedPageBreak/>
              <w:t>Up to 25,000 segments</w:t>
            </w:r>
          </w:p>
        </w:tc>
        <w:tc>
          <w:tcPr>
            <w:tcW w:w="2551" w:type="dxa"/>
          </w:tcPr>
          <w:p w14:paraId="63E13429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Up to 1288 segments</w:t>
            </w:r>
          </w:p>
        </w:tc>
        <w:tc>
          <w:tcPr>
            <w:tcW w:w="2127" w:type="dxa"/>
          </w:tcPr>
          <w:p w14:paraId="519AF0F8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Up to 18,000 </w:t>
            </w:r>
            <w:r>
              <w:rPr>
                <w:rFonts w:eastAsia="MS Mincho"/>
                <w:lang w:eastAsia="zh-CN"/>
              </w:rPr>
              <w:t>segments</w:t>
            </w:r>
          </w:p>
        </w:tc>
      </w:tr>
      <w:tr w:rsidR="00AF3527" w14:paraId="51E0E671" w14:textId="77777777">
        <w:trPr>
          <w:trHeight w:val="371"/>
        </w:trPr>
        <w:tc>
          <w:tcPr>
            <w:tcW w:w="1266" w:type="dxa"/>
            <w:vMerge/>
          </w:tcPr>
          <w:p w14:paraId="705BF5B5" w14:textId="77777777" w:rsidR="00AF3527" w:rsidRDefault="00AF3527">
            <w:pPr>
              <w:rPr>
                <w:rFonts w:eastAsia="MS Mincho"/>
                <w:lang w:eastAsia="zh-CN"/>
              </w:rPr>
            </w:pPr>
          </w:p>
        </w:tc>
        <w:tc>
          <w:tcPr>
            <w:tcW w:w="7655" w:type="dxa"/>
            <w:gridSpan w:val="3"/>
          </w:tcPr>
          <w:p w14:paraId="12EE0FCD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Challenging for massive segmentation at RRC</w:t>
            </w:r>
          </w:p>
        </w:tc>
      </w:tr>
      <w:tr w:rsidR="00AF3527" w14:paraId="295238FC" w14:textId="77777777">
        <w:trPr>
          <w:trHeight w:val="618"/>
        </w:trPr>
        <w:tc>
          <w:tcPr>
            <w:tcW w:w="1266" w:type="dxa"/>
          </w:tcPr>
          <w:p w14:paraId="3BF55504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1b (UP – gNB)</w:t>
            </w:r>
          </w:p>
        </w:tc>
        <w:tc>
          <w:tcPr>
            <w:tcW w:w="7655" w:type="dxa"/>
            <w:gridSpan w:val="3"/>
          </w:tcPr>
          <w:p w14:paraId="4DCB5DBC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Depends on SA2</w:t>
            </w:r>
          </w:p>
          <w:p w14:paraId="0DD7C2A0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Currently PDU session terminated at RAN is not supported, need further evaluation in SA2</w:t>
            </w:r>
          </w:p>
        </w:tc>
      </w:tr>
      <w:tr w:rsidR="00AF3527" w14:paraId="1C58C709" w14:textId="77777777">
        <w:trPr>
          <w:trHeight w:val="618"/>
        </w:trPr>
        <w:tc>
          <w:tcPr>
            <w:tcW w:w="1266" w:type="dxa"/>
          </w:tcPr>
          <w:p w14:paraId="5260F29D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2b (UP – CN)</w:t>
            </w:r>
          </w:p>
        </w:tc>
        <w:tc>
          <w:tcPr>
            <w:tcW w:w="7655" w:type="dxa"/>
            <w:gridSpan w:val="3"/>
          </w:tcPr>
          <w:p w14:paraId="6C484D6B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Depends on SA2 </w:t>
            </w:r>
          </w:p>
          <w:p w14:paraId="2CCF00A7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Signaling overhead between gNB </w:t>
            </w:r>
            <w:r>
              <w:rPr>
                <w:rFonts w:eastAsia="MS Mincho"/>
                <w:lang w:eastAsia="zh-CN"/>
              </w:rPr>
              <w:t>and CN will be introduced; Needs to further check with SA2 on whether CN is a suitable location for air interface use case model transfer/model storage.</w:t>
            </w:r>
          </w:p>
        </w:tc>
      </w:tr>
      <w:tr w:rsidR="00AF3527" w14:paraId="151AA934" w14:textId="77777777">
        <w:trPr>
          <w:trHeight w:val="618"/>
        </w:trPr>
        <w:tc>
          <w:tcPr>
            <w:tcW w:w="1266" w:type="dxa"/>
          </w:tcPr>
          <w:p w14:paraId="14D858DF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4a (OTT – UE)</w:t>
            </w:r>
          </w:p>
        </w:tc>
        <w:tc>
          <w:tcPr>
            <w:tcW w:w="7655" w:type="dxa"/>
            <w:gridSpan w:val="3"/>
          </w:tcPr>
          <w:p w14:paraId="4AD62A1E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Feasible (NW-side server -&gt; UE OTT server -&gt; UE)</w:t>
            </w:r>
          </w:p>
        </w:tc>
      </w:tr>
      <w:tr w:rsidR="00AF3527" w14:paraId="7CB10C36" w14:textId="77777777">
        <w:trPr>
          <w:trHeight w:val="618"/>
        </w:trPr>
        <w:tc>
          <w:tcPr>
            <w:tcW w:w="1266" w:type="dxa"/>
          </w:tcPr>
          <w:p w14:paraId="3AD9DD5F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4b (OAM –UE)</w:t>
            </w:r>
          </w:p>
        </w:tc>
        <w:tc>
          <w:tcPr>
            <w:tcW w:w="7655" w:type="dxa"/>
            <w:gridSpan w:val="3"/>
          </w:tcPr>
          <w:p w14:paraId="530E692A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CP: Cha</w:t>
            </w:r>
            <w:r>
              <w:rPr>
                <w:rFonts w:eastAsia="MS Mincho"/>
                <w:lang w:eastAsia="zh-CN"/>
              </w:rPr>
              <w:t>llenging (same as CP solutions limited by RRC message size)</w:t>
            </w:r>
          </w:p>
          <w:p w14:paraId="6AE5606C" w14:textId="77777777" w:rsidR="00AF3527" w:rsidRDefault="003669F6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UP: Challenging (no direct link between OAM and UE)</w:t>
            </w:r>
          </w:p>
        </w:tc>
      </w:tr>
    </w:tbl>
    <w:p w14:paraId="2F2E72EC" w14:textId="77777777" w:rsidR="00AF3527" w:rsidRDefault="00AF3527">
      <w:pPr>
        <w:rPr>
          <w:lang w:val="en-GB" w:eastAsia="zh-CN"/>
        </w:rPr>
      </w:pPr>
    </w:p>
    <w:p w14:paraId="23FB9297" w14:textId="77777777" w:rsidR="00AF3527" w:rsidRDefault="003669F6" w:rsidP="00C250FD">
      <w:pPr>
        <w:pStyle w:val="Heading1"/>
        <w:tabs>
          <w:tab w:val="clear" w:pos="4680"/>
          <w:tab w:val="clear" w:pos="9360"/>
        </w:tabs>
      </w:pPr>
      <w:r>
        <w:t>Conclusion</w:t>
      </w:r>
    </w:p>
    <w:p w14:paraId="05336FF1" w14:textId="0CE62F22" w:rsidR="00AF3527" w:rsidRDefault="003669F6">
      <w:r>
        <w:t xml:space="preserve">In this contribution, </w:t>
      </w:r>
      <w:r w:rsidR="00807507">
        <w:t xml:space="preserve">according to RAN1 LS and RAN2 studied outcome in TR 38.843, </w:t>
      </w:r>
      <w:r>
        <w:t xml:space="preserve">we </w:t>
      </w:r>
      <w:r w:rsidR="00807507">
        <w:t>further analyzed model transfer requirement and feasibility of RAN2 candidate solutions. We have below observations and proposals</w:t>
      </w:r>
      <w:r>
        <w:t>:</w:t>
      </w:r>
    </w:p>
    <w:p w14:paraId="50F2C4A3" w14:textId="77777777" w:rsidR="00C250FD" w:rsidRDefault="00C250FD" w:rsidP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1: Based on RAN1 LS, model transfer/delivery for two-sided model has the following requirements:</w:t>
      </w:r>
    </w:p>
    <w:p w14:paraId="0C6E749D" w14:textId="77777777" w:rsidR="00C250FD" w:rsidRDefault="00C250FD" w:rsidP="00C250FD">
      <w:pPr>
        <w:pStyle w:val="Obs-prop"/>
        <w:numPr>
          <w:ilvl w:val="0"/>
          <w:numId w:val="7"/>
        </w:numPr>
        <w:rPr>
          <w:rFonts w:eastAsia="Calibri"/>
          <w:lang w:eastAsia="zh-CN"/>
        </w:rPr>
      </w:pPr>
      <w:r>
        <w:rPr>
          <w:lang w:eastAsia="zh-CN"/>
        </w:rPr>
        <w:t>Data/parameter size may be as large as 277MB</w:t>
      </w:r>
    </w:p>
    <w:p w14:paraId="047C64E2" w14:textId="77777777" w:rsidR="00C250FD" w:rsidRDefault="00C250FD" w:rsidP="00C250FD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Relaxed latency (e.g. days/weeks)</w:t>
      </w:r>
    </w:p>
    <w:p w14:paraId="3336EE45" w14:textId="77777777" w:rsidR="00C250FD" w:rsidRDefault="00C250FD" w:rsidP="00C250FD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Infrequent updates</w:t>
      </w:r>
    </w:p>
    <w:p w14:paraId="5D5FA16F" w14:textId="77777777" w:rsidR="00C250FD" w:rsidRDefault="00C250FD" w:rsidP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1: Based on RAN1 LS, the following requirement</w:t>
      </w:r>
      <w:r>
        <w:rPr>
          <w:lang w:val="en-US" w:eastAsia="zh-CN"/>
        </w:rPr>
        <w:t xml:space="preserve">s need to be considered when selecting a suitable solution for </w:t>
      </w:r>
      <w:r>
        <w:rPr>
          <w:lang w:eastAsia="zh-CN"/>
        </w:rPr>
        <w:t>model transfer/delivery:</w:t>
      </w:r>
    </w:p>
    <w:p w14:paraId="38C10D65" w14:textId="77777777" w:rsidR="00C250FD" w:rsidRDefault="00C250FD" w:rsidP="00C250FD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 to 30,000 RRC segments via CP, 300MB packet transmission via UP</w:t>
      </w:r>
    </w:p>
    <w:p w14:paraId="612BAF03" w14:textId="77777777" w:rsidR="00C250FD" w:rsidRDefault="00C250FD" w:rsidP="00C250FD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Support service continuity across multiple cells/NG-RAN nodes</w:t>
      </w:r>
    </w:p>
    <w:p w14:paraId="63E5DF54" w14:textId="77777777" w:rsidR="00C250FD" w:rsidRDefault="00C250FD" w:rsidP="00C250FD">
      <w:pPr>
        <w:pStyle w:val="Obs-prop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Model transfer/delivery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two-sided model managed at </w:t>
      </w:r>
      <w:r>
        <w:rPr>
          <w:rFonts w:hint="eastAsia"/>
          <w:lang w:eastAsia="zh-CN"/>
        </w:rPr>
        <w:t>g</w:t>
      </w:r>
      <w:r>
        <w:rPr>
          <w:lang w:eastAsia="zh-CN"/>
        </w:rPr>
        <w:t>NB side</w:t>
      </w:r>
    </w:p>
    <w:p w14:paraId="04B5802C" w14:textId="77777777" w:rsidR="00C250FD" w:rsidRDefault="00C250FD" w:rsidP="00C250FD">
      <w:pPr>
        <w:pStyle w:val="Obs-prop"/>
        <w:numPr>
          <w:ilvl w:val="0"/>
          <w:numId w:val="7"/>
        </w:numPr>
        <w:rPr>
          <w:lang w:val="en-US" w:eastAsia="zh-CN"/>
        </w:rPr>
      </w:pPr>
      <w:r>
        <w:rPr>
          <w:lang w:eastAsia="zh-CN"/>
        </w:rPr>
        <w:t xml:space="preserve">Low priority level, large packet delay budget and/or low data burst volume </w:t>
      </w:r>
    </w:p>
    <w:p w14:paraId="4202C59E" w14:textId="77777777" w:rsidR="00C250FD" w:rsidRDefault="00C250FD" w:rsidP="00C250FD">
      <w:pPr>
        <w:pStyle w:val="Obs-prop"/>
        <w:rPr>
          <w:lang w:eastAsia="zh-CN"/>
        </w:rPr>
      </w:pPr>
      <w:r>
        <w:rPr>
          <w:lang w:eastAsia="zh-CN"/>
        </w:rPr>
        <w:t>Observation 2: In Solution 1a/2a/4b, it is challenging to support over 30,000 segments PDCP data forwarding over SRB for service continuity, even considering a low priority SRB.</w:t>
      </w:r>
    </w:p>
    <w:p w14:paraId="7F64099F" w14:textId="77777777" w:rsidR="00C250FD" w:rsidRDefault="00C250FD" w:rsidP="00C250FD">
      <w:pPr>
        <w:pStyle w:val="Obs-prop"/>
      </w:pPr>
      <w:r>
        <w:rPr>
          <w:rFonts w:hint="eastAsia"/>
        </w:rPr>
        <w:t>O</w:t>
      </w:r>
      <w:r>
        <w:t>bservation 3: In Solution 1b, it is up to SA2 on whether PDU session setup can be requested by NG-RAN node.</w:t>
      </w:r>
    </w:p>
    <w:p w14:paraId="3BD2270D" w14:textId="4E165276" w:rsidR="00C250FD" w:rsidRDefault="00C250FD" w:rsidP="00C250FD">
      <w:pPr>
        <w:pStyle w:val="Obs-prop"/>
        <w:rPr>
          <w:lang w:eastAsia="zh-CN"/>
        </w:rPr>
      </w:pPr>
      <w:r>
        <w:rPr>
          <w:lang w:eastAsia="zh-CN"/>
        </w:rPr>
        <w:t xml:space="preserve">Observation 4: In Solution 2b, </w:t>
      </w:r>
      <w:r w:rsidR="003669F6">
        <w:rPr>
          <w:lang w:eastAsia="zh-CN"/>
        </w:rPr>
        <w:t xml:space="preserve">there’s </w:t>
      </w:r>
      <w:r>
        <w:rPr>
          <w:lang w:eastAsia="zh-CN"/>
        </w:rPr>
        <w:t>less specification impact of defining a new 5QI value, but signalling overhead may be introduced to support gNB controllability where model is transferred from CN.</w:t>
      </w:r>
    </w:p>
    <w:p w14:paraId="0830F52B" w14:textId="2F968850" w:rsidR="00C250FD" w:rsidRDefault="00C250FD" w:rsidP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2: RAN2 captures below table in TR 38.843.</w:t>
      </w:r>
    </w:p>
    <w:tbl>
      <w:tblPr>
        <w:tblStyle w:val="TableGrid"/>
        <w:tblpPr w:leftFromText="180" w:rightFromText="180" w:vertAnchor="text" w:horzAnchor="margin" w:tblpY="-41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559"/>
        <w:gridCol w:w="1418"/>
        <w:gridCol w:w="1559"/>
        <w:gridCol w:w="1275"/>
        <w:gridCol w:w="1418"/>
      </w:tblGrid>
      <w:tr w:rsidR="00C250FD" w14:paraId="10243A0C" w14:textId="77777777" w:rsidTr="00A67FE9">
        <w:tc>
          <w:tcPr>
            <w:tcW w:w="704" w:type="dxa"/>
          </w:tcPr>
          <w:p w14:paraId="3DDE142E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</w:tcPr>
          <w:p w14:paraId="0BB8EC2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1a</w:t>
            </w:r>
          </w:p>
          <w:p w14:paraId="50483390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CP via RRC)</w:t>
            </w:r>
          </w:p>
        </w:tc>
        <w:tc>
          <w:tcPr>
            <w:tcW w:w="1559" w:type="dxa"/>
          </w:tcPr>
          <w:p w14:paraId="7CEEF945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2a</w:t>
            </w:r>
          </w:p>
          <w:p w14:paraId="76DDC3B9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CP via NAS)</w:t>
            </w:r>
          </w:p>
        </w:tc>
        <w:tc>
          <w:tcPr>
            <w:tcW w:w="1418" w:type="dxa"/>
          </w:tcPr>
          <w:p w14:paraId="34AA938F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1b</w:t>
            </w:r>
          </w:p>
          <w:p w14:paraId="0EEB9877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UP terminated at gNB)</w:t>
            </w:r>
          </w:p>
        </w:tc>
        <w:tc>
          <w:tcPr>
            <w:tcW w:w="1559" w:type="dxa"/>
          </w:tcPr>
          <w:p w14:paraId="7F44B397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2b</w:t>
            </w:r>
          </w:p>
          <w:p w14:paraId="09AAA810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UP terminated at CN)</w:t>
            </w:r>
          </w:p>
        </w:tc>
        <w:tc>
          <w:tcPr>
            <w:tcW w:w="1275" w:type="dxa"/>
          </w:tcPr>
          <w:p w14:paraId="72FE1931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4a</w:t>
            </w:r>
          </w:p>
          <w:p w14:paraId="1919738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OTT server - UE)</w:t>
            </w:r>
          </w:p>
        </w:tc>
        <w:tc>
          <w:tcPr>
            <w:tcW w:w="1418" w:type="dxa"/>
          </w:tcPr>
          <w:p w14:paraId="0071A5F0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olution 4b</w:t>
            </w:r>
          </w:p>
          <w:p w14:paraId="22F79BE4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OAM-gNB-UE)</w:t>
            </w:r>
          </w:p>
        </w:tc>
      </w:tr>
      <w:tr w:rsidR="00C250FD" w14:paraId="7EBCB69F" w14:textId="77777777" w:rsidTr="00A67FE9">
        <w:trPr>
          <w:trHeight w:val="248"/>
        </w:trPr>
        <w:tc>
          <w:tcPr>
            <w:tcW w:w="704" w:type="dxa"/>
          </w:tcPr>
          <w:p w14:paraId="58D3908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1</w:t>
            </w:r>
          </w:p>
        </w:tc>
        <w:tc>
          <w:tcPr>
            <w:tcW w:w="2977" w:type="dxa"/>
            <w:gridSpan w:val="2"/>
          </w:tcPr>
          <w:p w14:paraId="475C42AD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FF0000"/>
                <w:lang w:val="en-GB" w:eastAsia="zh-CN"/>
              </w:rPr>
              <w:t xml:space="preserve">Challenging </w:t>
            </w:r>
            <w:r>
              <w:rPr>
                <w:rFonts w:eastAsiaTheme="minorEastAsia"/>
                <w:lang w:val="en-GB" w:eastAsia="zh-CN"/>
              </w:rPr>
              <w:t>due to massive number of segments</w:t>
            </w:r>
          </w:p>
          <w:p w14:paraId="3976CED9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>
              <w:rPr>
                <w:rFonts w:eastAsiaTheme="minorEastAsia"/>
                <w:lang w:val="en-GB" w:eastAsia="zh-CN"/>
              </w:rPr>
              <w:t>25,000 segments for Option 4-1;</w:t>
            </w:r>
          </w:p>
          <w:p w14:paraId="1DEA392B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1,288 segments for Option 3a-1 without parameter;</w:t>
            </w:r>
          </w:p>
          <w:p w14:paraId="3D9FF466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26,288 segments for Option 3a-1 with parameter)</w:t>
            </w:r>
          </w:p>
        </w:tc>
        <w:tc>
          <w:tcPr>
            <w:tcW w:w="2977" w:type="dxa"/>
            <w:gridSpan w:val="2"/>
          </w:tcPr>
          <w:p w14:paraId="3C6FB55C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>upported</w:t>
            </w:r>
          </w:p>
        </w:tc>
        <w:tc>
          <w:tcPr>
            <w:tcW w:w="1275" w:type="dxa"/>
            <w:vMerge w:val="restart"/>
            <w:vAlign w:val="center"/>
          </w:tcPr>
          <w:p w14:paraId="248D6F21" w14:textId="77777777" w:rsidR="00C250FD" w:rsidRDefault="00C250FD" w:rsidP="00A67FE9">
            <w:pPr>
              <w:jc w:val="center"/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Transparent to 3GPP</w:t>
            </w:r>
          </w:p>
        </w:tc>
        <w:tc>
          <w:tcPr>
            <w:tcW w:w="1418" w:type="dxa"/>
            <w:vMerge w:val="restart"/>
            <w:vAlign w:val="center"/>
          </w:tcPr>
          <w:p w14:paraId="60ECFD42" w14:textId="77777777" w:rsidR="00C250FD" w:rsidRDefault="00C250FD" w:rsidP="00A67FE9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Same as Solution 1a/2a</w:t>
            </w:r>
          </w:p>
        </w:tc>
      </w:tr>
      <w:tr w:rsidR="00C250FD" w14:paraId="7EB6253A" w14:textId="77777777" w:rsidTr="00A67FE9">
        <w:trPr>
          <w:trHeight w:val="325"/>
        </w:trPr>
        <w:tc>
          <w:tcPr>
            <w:tcW w:w="704" w:type="dxa"/>
          </w:tcPr>
          <w:p w14:paraId="28B6F650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2</w:t>
            </w:r>
          </w:p>
        </w:tc>
        <w:tc>
          <w:tcPr>
            <w:tcW w:w="2977" w:type="dxa"/>
            <w:gridSpan w:val="2"/>
          </w:tcPr>
          <w:p w14:paraId="0E141AFB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>Can be supported</w:t>
            </w:r>
            <w:r>
              <w:rPr>
                <w:rFonts w:eastAsiaTheme="minorEastAsia"/>
                <w:lang w:val="en-GB" w:eastAsia="zh-CN"/>
              </w:rPr>
              <w:t xml:space="preserve"> by enhancing PDCP data forwarding in SRB</w:t>
            </w:r>
          </w:p>
        </w:tc>
        <w:tc>
          <w:tcPr>
            <w:tcW w:w="1418" w:type="dxa"/>
          </w:tcPr>
          <w:p w14:paraId="345BC05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PDU terminated at gNB is not supported and </w:t>
            </w: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559" w:type="dxa"/>
          </w:tcPr>
          <w:p w14:paraId="3EEE8313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>upported</w:t>
            </w:r>
          </w:p>
        </w:tc>
        <w:tc>
          <w:tcPr>
            <w:tcW w:w="1275" w:type="dxa"/>
            <w:vMerge/>
          </w:tcPr>
          <w:p w14:paraId="5F2755F4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03195A9F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</w:tr>
      <w:tr w:rsidR="00C250FD" w14:paraId="5923FF2F" w14:textId="77777777" w:rsidTr="00A67FE9">
        <w:tc>
          <w:tcPr>
            <w:tcW w:w="704" w:type="dxa"/>
          </w:tcPr>
          <w:p w14:paraId="2CBF2D5E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3</w:t>
            </w:r>
          </w:p>
        </w:tc>
        <w:tc>
          <w:tcPr>
            <w:tcW w:w="1418" w:type="dxa"/>
          </w:tcPr>
          <w:p w14:paraId="3D3C2CF7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S</w:t>
            </w:r>
            <w:r>
              <w:rPr>
                <w:rFonts w:eastAsiaTheme="minorEastAsia"/>
                <w:color w:val="00B050"/>
                <w:lang w:val="en-GB" w:eastAsia="zh-CN"/>
              </w:rPr>
              <w:t xml:space="preserve">upported </w:t>
            </w:r>
            <w:r>
              <w:rPr>
                <w:rFonts w:eastAsiaTheme="minorEastAsia"/>
                <w:lang w:val="en-GB" w:eastAsia="zh-CN"/>
              </w:rPr>
              <w:t>via RRC signaling</w:t>
            </w:r>
          </w:p>
        </w:tc>
        <w:tc>
          <w:tcPr>
            <w:tcW w:w="1559" w:type="dxa"/>
          </w:tcPr>
          <w:p w14:paraId="4895D3F3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>Can be supported</w:t>
            </w:r>
            <w:r>
              <w:rPr>
                <w:rFonts w:eastAsiaTheme="minorEastAsia"/>
                <w:lang w:val="en-GB" w:eastAsia="zh-CN"/>
              </w:rPr>
              <w:t xml:space="preserve"> by defining gNB and CN interface for model transfer/delivery management</w:t>
            </w:r>
          </w:p>
        </w:tc>
        <w:tc>
          <w:tcPr>
            <w:tcW w:w="1418" w:type="dxa"/>
          </w:tcPr>
          <w:p w14:paraId="36F0F169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upported via RRC signaling</w:t>
            </w:r>
          </w:p>
        </w:tc>
        <w:tc>
          <w:tcPr>
            <w:tcW w:w="1559" w:type="dxa"/>
          </w:tcPr>
          <w:p w14:paraId="546A24B5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Can be supported by defining gNB and CN interface for model transfer/delivery management</w:t>
            </w:r>
          </w:p>
        </w:tc>
        <w:tc>
          <w:tcPr>
            <w:tcW w:w="1275" w:type="dxa"/>
            <w:vMerge/>
          </w:tcPr>
          <w:p w14:paraId="070F0C3F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67559437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</w:tr>
      <w:tr w:rsidR="00C250FD" w14:paraId="7D4A68A7" w14:textId="77777777" w:rsidTr="00A67FE9">
        <w:tc>
          <w:tcPr>
            <w:tcW w:w="704" w:type="dxa"/>
          </w:tcPr>
          <w:p w14:paraId="55019BEB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>
              <w:rPr>
                <w:rFonts w:eastAsiaTheme="minorEastAsia"/>
                <w:lang w:val="en-GB" w:eastAsia="zh-CN"/>
              </w:rPr>
              <w:t>4</w:t>
            </w:r>
          </w:p>
        </w:tc>
        <w:tc>
          <w:tcPr>
            <w:tcW w:w="2977" w:type="dxa"/>
            <w:gridSpan w:val="2"/>
          </w:tcPr>
          <w:p w14:paraId="39C76B2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 xml:space="preserve">Can be supported </w:t>
            </w:r>
            <w:r>
              <w:rPr>
                <w:rFonts w:eastAsiaTheme="minorEastAsia"/>
                <w:lang w:val="en-GB" w:eastAsia="zh-CN"/>
              </w:rPr>
              <w:t>by low priority SRB</w:t>
            </w:r>
          </w:p>
        </w:tc>
        <w:tc>
          <w:tcPr>
            <w:tcW w:w="2977" w:type="dxa"/>
            <w:gridSpan w:val="2"/>
          </w:tcPr>
          <w:p w14:paraId="32667669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50"/>
                <w:lang w:val="en-GB" w:eastAsia="zh-CN"/>
              </w:rPr>
              <w:t xml:space="preserve">Can be supported </w:t>
            </w:r>
            <w:r>
              <w:rPr>
                <w:rFonts w:eastAsiaTheme="minorEastAsia"/>
                <w:lang w:val="en-GB" w:eastAsia="zh-CN"/>
              </w:rPr>
              <w:t>by defining a new 5QI for relaxed latency and infrequent model transfer/delivery</w:t>
            </w:r>
          </w:p>
        </w:tc>
        <w:tc>
          <w:tcPr>
            <w:tcW w:w="1275" w:type="dxa"/>
            <w:vMerge/>
          </w:tcPr>
          <w:p w14:paraId="1FD95950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  <w:tc>
          <w:tcPr>
            <w:tcW w:w="1418" w:type="dxa"/>
            <w:vMerge/>
          </w:tcPr>
          <w:p w14:paraId="70440A42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</w:p>
        </w:tc>
      </w:tr>
      <w:tr w:rsidR="00C250FD" w14:paraId="1A48B817" w14:textId="77777777" w:rsidTr="00A67FE9">
        <w:tc>
          <w:tcPr>
            <w:tcW w:w="704" w:type="dxa"/>
          </w:tcPr>
          <w:p w14:paraId="2A9DD76A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>ummary</w:t>
            </w:r>
          </w:p>
        </w:tc>
        <w:tc>
          <w:tcPr>
            <w:tcW w:w="1418" w:type="dxa"/>
          </w:tcPr>
          <w:p w14:paraId="045DC405" w14:textId="77777777" w:rsidR="00C250FD" w:rsidRDefault="00C250FD" w:rsidP="00A67FE9">
            <w:pPr>
              <w:rPr>
                <w:rFonts w:eastAsiaTheme="minorEastAsia"/>
                <w:color w:val="FF0000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 xml:space="preserve">hallenging </w:t>
            </w:r>
          </w:p>
        </w:tc>
        <w:tc>
          <w:tcPr>
            <w:tcW w:w="1559" w:type="dxa"/>
          </w:tcPr>
          <w:p w14:paraId="1C35A45F" w14:textId="77777777" w:rsidR="00C250FD" w:rsidRDefault="00C250FD" w:rsidP="00A67FE9">
            <w:pPr>
              <w:rPr>
                <w:rFonts w:eastAsiaTheme="minorEastAsia"/>
                <w:color w:val="FF0000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>hallenging</w:t>
            </w:r>
          </w:p>
        </w:tc>
        <w:tc>
          <w:tcPr>
            <w:tcW w:w="1418" w:type="dxa"/>
          </w:tcPr>
          <w:p w14:paraId="50EF9EF6" w14:textId="77777777" w:rsidR="00C250FD" w:rsidRDefault="00C250FD" w:rsidP="00A67FE9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559" w:type="dxa"/>
          </w:tcPr>
          <w:p w14:paraId="13B22407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/>
                <w:color w:val="00B0F0"/>
                <w:lang w:val="en-GB" w:eastAsia="zh-CN"/>
              </w:rPr>
              <w:t>Depends on SA</w:t>
            </w:r>
          </w:p>
        </w:tc>
        <w:tc>
          <w:tcPr>
            <w:tcW w:w="1275" w:type="dxa"/>
          </w:tcPr>
          <w:p w14:paraId="341CE028" w14:textId="77777777" w:rsidR="00C250FD" w:rsidRDefault="00C250FD" w:rsidP="00A67FE9">
            <w:pPr>
              <w:rPr>
                <w:rFonts w:eastAsiaTheme="minorEastAsia"/>
                <w:color w:val="00B050"/>
                <w:lang w:val="en-GB" w:eastAsia="zh-CN"/>
              </w:rPr>
            </w:pPr>
            <w:r>
              <w:rPr>
                <w:rFonts w:eastAsiaTheme="minorEastAsia" w:hint="eastAsia"/>
                <w:color w:val="00B050"/>
                <w:lang w:val="en-GB" w:eastAsia="zh-CN"/>
              </w:rPr>
              <w:t>F</w:t>
            </w:r>
            <w:r>
              <w:rPr>
                <w:rFonts w:eastAsiaTheme="minorEastAsia"/>
                <w:color w:val="00B050"/>
                <w:lang w:val="en-GB" w:eastAsia="zh-CN"/>
              </w:rPr>
              <w:t>easible</w:t>
            </w:r>
          </w:p>
        </w:tc>
        <w:tc>
          <w:tcPr>
            <w:tcW w:w="1418" w:type="dxa"/>
          </w:tcPr>
          <w:p w14:paraId="52D04089" w14:textId="77777777" w:rsidR="00C250FD" w:rsidRDefault="00C250FD" w:rsidP="00A67FE9">
            <w:pPr>
              <w:rPr>
                <w:rFonts w:eastAsia="Calibri"/>
                <w:lang w:val="en-GB" w:eastAsia="zh-CN"/>
              </w:rPr>
            </w:pPr>
            <w:r>
              <w:rPr>
                <w:rFonts w:eastAsiaTheme="minorEastAsia" w:hint="eastAsia"/>
                <w:color w:val="FF0000"/>
                <w:lang w:val="en-GB" w:eastAsia="zh-CN"/>
              </w:rPr>
              <w:t>C</w:t>
            </w:r>
            <w:r>
              <w:rPr>
                <w:rFonts w:eastAsiaTheme="minorEastAsia"/>
                <w:color w:val="FF0000"/>
                <w:lang w:val="en-GB" w:eastAsia="zh-CN"/>
              </w:rPr>
              <w:t>hallenging</w:t>
            </w:r>
          </w:p>
        </w:tc>
      </w:tr>
    </w:tbl>
    <w:p w14:paraId="3CF8305E" w14:textId="77777777" w:rsidR="00C250FD" w:rsidRPr="00C250FD" w:rsidRDefault="00C250FD" w:rsidP="00C250FD">
      <w:pPr>
        <w:rPr>
          <w:rFonts w:hint="eastAsia"/>
          <w:lang w:val="en-GB" w:eastAsia="zh-CN"/>
        </w:rPr>
      </w:pPr>
    </w:p>
    <w:p w14:paraId="593A251F" w14:textId="77777777" w:rsidR="00C250FD" w:rsidRDefault="00C250FD" w:rsidP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3: RAN2 provides below feasibility analysis to RAN1:</w:t>
      </w:r>
    </w:p>
    <w:p w14:paraId="215A3629" w14:textId="18644EAF" w:rsidR="00AF3527" w:rsidRDefault="00C250FD">
      <w:pPr>
        <w:pStyle w:val="Obs-prop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feasible to use Solution 4a to support all options from RAN1. The feasibility of other solutions is provided as below:</w:t>
      </w:r>
    </w:p>
    <w:tbl>
      <w:tblPr>
        <w:tblStyle w:val="TableGrid1"/>
        <w:tblW w:w="892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266"/>
        <w:gridCol w:w="2977"/>
        <w:gridCol w:w="2551"/>
        <w:gridCol w:w="2127"/>
      </w:tblGrid>
      <w:tr w:rsidR="00C250FD" w14:paraId="3693DF35" w14:textId="77777777" w:rsidTr="00A67FE9">
        <w:trPr>
          <w:trHeight w:val="989"/>
        </w:trPr>
        <w:tc>
          <w:tcPr>
            <w:tcW w:w="1266" w:type="dxa"/>
          </w:tcPr>
          <w:p w14:paraId="4C3838BD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</w:p>
        </w:tc>
        <w:tc>
          <w:tcPr>
            <w:tcW w:w="2977" w:type="dxa"/>
          </w:tcPr>
          <w:p w14:paraId="23E59729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4-1</w:t>
            </w:r>
            <w:r>
              <w:rPr>
                <w:rFonts w:eastAsia="MS Mincho"/>
                <w:lang w:eastAsia="zh-CN"/>
              </w:rPr>
              <w:t>: sharing {target CSI, CSI feedback} dataset</w:t>
            </w:r>
          </w:p>
          <w:p w14:paraId="39E4B3F8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225MB)</w:t>
            </w:r>
          </w:p>
        </w:tc>
        <w:tc>
          <w:tcPr>
            <w:tcW w:w="2551" w:type="dxa"/>
          </w:tcPr>
          <w:p w14:paraId="15D91427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3a-1 without target CSI</w:t>
            </w:r>
            <w:r>
              <w:rPr>
                <w:rFonts w:eastAsia="MS Mincho"/>
                <w:lang w:eastAsia="zh-CN"/>
              </w:rPr>
              <w:t>: sharing encoder parameter</w:t>
            </w:r>
          </w:p>
          <w:p w14:paraId="43E6D497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11.6MB)</w:t>
            </w:r>
          </w:p>
        </w:tc>
        <w:tc>
          <w:tcPr>
            <w:tcW w:w="2127" w:type="dxa"/>
          </w:tcPr>
          <w:p w14:paraId="09767615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b/>
                <w:bCs/>
                <w:lang w:eastAsia="zh-CN"/>
              </w:rPr>
              <w:t>Option 3a-1 with target CSI</w:t>
            </w:r>
            <w:r>
              <w:rPr>
                <w:rFonts w:eastAsia="MS Mincho"/>
                <w:lang w:eastAsia="zh-CN"/>
              </w:rPr>
              <w:t>: sharing encoder parameters, along with {target CSI} dataset</w:t>
            </w:r>
          </w:p>
          <w:p w14:paraId="209CB336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u w:val="single"/>
                <w:lang w:eastAsia="zh-CN"/>
              </w:rPr>
              <w:t>(model size 161.6MB)</w:t>
            </w:r>
          </w:p>
        </w:tc>
      </w:tr>
      <w:tr w:rsidR="00C250FD" w14:paraId="72E6B161" w14:textId="77777777" w:rsidTr="00A67FE9">
        <w:trPr>
          <w:trHeight w:val="371"/>
        </w:trPr>
        <w:tc>
          <w:tcPr>
            <w:tcW w:w="1266" w:type="dxa"/>
            <w:vMerge w:val="restart"/>
          </w:tcPr>
          <w:p w14:paraId="61E6BDC2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1a (CP – gNB)</w:t>
            </w:r>
          </w:p>
          <w:p w14:paraId="6C0A9C95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lastRenderedPageBreak/>
              <w:t>Solution 2a (CP – CN)</w:t>
            </w:r>
          </w:p>
        </w:tc>
        <w:tc>
          <w:tcPr>
            <w:tcW w:w="2977" w:type="dxa"/>
          </w:tcPr>
          <w:p w14:paraId="6E25E98D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lastRenderedPageBreak/>
              <w:t>Up to 25,000 segments</w:t>
            </w:r>
          </w:p>
        </w:tc>
        <w:tc>
          <w:tcPr>
            <w:tcW w:w="2551" w:type="dxa"/>
          </w:tcPr>
          <w:p w14:paraId="3F7DB5F1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Up to 1288 segments</w:t>
            </w:r>
          </w:p>
        </w:tc>
        <w:tc>
          <w:tcPr>
            <w:tcW w:w="2127" w:type="dxa"/>
          </w:tcPr>
          <w:p w14:paraId="54B9B1CC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Up to 18,000 segments</w:t>
            </w:r>
          </w:p>
        </w:tc>
      </w:tr>
      <w:tr w:rsidR="00C250FD" w14:paraId="5C5CEBBC" w14:textId="77777777" w:rsidTr="00A67FE9">
        <w:trPr>
          <w:trHeight w:val="371"/>
        </w:trPr>
        <w:tc>
          <w:tcPr>
            <w:tcW w:w="1266" w:type="dxa"/>
            <w:vMerge/>
          </w:tcPr>
          <w:p w14:paraId="172FC104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</w:p>
        </w:tc>
        <w:tc>
          <w:tcPr>
            <w:tcW w:w="7655" w:type="dxa"/>
            <w:gridSpan w:val="3"/>
          </w:tcPr>
          <w:p w14:paraId="1E0C63CA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Challenging for massive segmentation at RRC</w:t>
            </w:r>
          </w:p>
        </w:tc>
      </w:tr>
      <w:tr w:rsidR="00C250FD" w14:paraId="09AD1FC2" w14:textId="77777777" w:rsidTr="00A67FE9">
        <w:trPr>
          <w:trHeight w:val="618"/>
        </w:trPr>
        <w:tc>
          <w:tcPr>
            <w:tcW w:w="1266" w:type="dxa"/>
          </w:tcPr>
          <w:p w14:paraId="73CC83B4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1b (UP – gNB)</w:t>
            </w:r>
          </w:p>
        </w:tc>
        <w:tc>
          <w:tcPr>
            <w:tcW w:w="7655" w:type="dxa"/>
            <w:gridSpan w:val="3"/>
          </w:tcPr>
          <w:p w14:paraId="07E58CA0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Depends on SA2</w:t>
            </w:r>
          </w:p>
          <w:p w14:paraId="0C508FE6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Currently PDU session terminated at RAN is not supported, need further evaluation in SA2</w:t>
            </w:r>
          </w:p>
        </w:tc>
      </w:tr>
      <w:tr w:rsidR="00C250FD" w14:paraId="4B3264B7" w14:textId="77777777" w:rsidTr="00A67FE9">
        <w:trPr>
          <w:trHeight w:val="618"/>
        </w:trPr>
        <w:tc>
          <w:tcPr>
            <w:tcW w:w="1266" w:type="dxa"/>
          </w:tcPr>
          <w:p w14:paraId="51A8079A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2b (UP – CN)</w:t>
            </w:r>
          </w:p>
        </w:tc>
        <w:tc>
          <w:tcPr>
            <w:tcW w:w="7655" w:type="dxa"/>
            <w:gridSpan w:val="3"/>
          </w:tcPr>
          <w:p w14:paraId="36388CA4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Depends on SA2 </w:t>
            </w:r>
          </w:p>
          <w:p w14:paraId="3278466C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Signaling overhead between gNB and CN will be introduced; Needs to further check with SA2 on whether CN is a suitable location for air interface use case model transfer/model storage.</w:t>
            </w:r>
          </w:p>
        </w:tc>
      </w:tr>
      <w:tr w:rsidR="00C250FD" w14:paraId="1BD0A54C" w14:textId="77777777" w:rsidTr="00A67FE9">
        <w:trPr>
          <w:trHeight w:val="618"/>
        </w:trPr>
        <w:tc>
          <w:tcPr>
            <w:tcW w:w="1266" w:type="dxa"/>
          </w:tcPr>
          <w:p w14:paraId="674EA542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4a (OTT – UE)</w:t>
            </w:r>
          </w:p>
        </w:tc>
        <w:tc>
          <w:tcPr>
            <w:tcW w:w="7655" w:type="dxa"/>
            <w:gridSpan w:val="3"/>
          </w:tcPr>
          <w:p w14:paraId="4F26BA94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Feasible (NW-side server -&gt; UE OTT server -&gt; UE)</w:t>
            </w:r>
          </w:p>
        </w:tc>
      </w:tr>
      <w:tr w:rsidR="00C250FD" w14:paraId="565250CE" w14:textId="77777777" w:rsidTr="00A67FE9">
        <w:trPr>
          <w:trHeight w:val="618"/>
        </w:trPr>
        <w:tc>
          <w:tcPr>
            <w:tcW w:w="1266" w:type="dxa"/>
          </w:tcPr>
          <w:p w14:paraId="2E620CCF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Solution 4b (OAM –UE)</w:t>
            </w:r>
          </w:p>
        </w:tc>
        <w:tc>
          <w:tcPr>
            <w:tcW w:w="7655" w:type="dxa"/>
            <w:gridSpan w:val="3"/>
          </w:tcPr>
          <w:p w14:paraId="02921D85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CP: Challenging (same as CP solutions limited by RRC message size)</w:t>
            </w:r>
          </w:p>
          <w:p w14:paraId="3A833342" w14:textId="77777777" w:rsidR="00C250FD" w:rsidRDefault="00C250FD" w:rsidP="00A67FE9">
            <w:pPr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UP: Challenging (no direct link between OAM and UE)</w:t>
            </w:r>
          </w:p>
        </w:tc>
      </w:tr>
    </w:tbl>
    <w:p w14:paraId="5B2B3C74" w14:textId="77777777" w:rsidR="00C250FD" w:rsidRPr="00C250FD" w:rsidRDefault="00C250FD" w:rsidP="00C250FD">
      <w:pPr>
        <w:rPr>
          <w:rFonts w:hint="eastAsia"/>
          <w:lang w:eastAsia="zh-CN"/>
        </w:rPr>
      </w:pPr>
    </w:p>
    <w:p w14:paraId="1CDC92EC" w14:textId="77777777" w:rsidR="00AF3527" w:rsidRDefault="003669F6" w:rsidP="00C250FD">
      <w:pPr>
        <w:pStyle w:val="Heading1"/>
        <w:tabs>
          <w:tab w:val="clear" w:pos="4680"/>
          <w:tab w:val="clear" w:pos="9360"/>
        </w:tabs>
      </w:pPr>
      <w:r>
        <w:t>Reference</w:t>
      </w:r>
    </w:p>
    <w:p w14:paraId="54FD1AE9" w14:textId="77777777" w:rsidR="00AF3527" w:rsidRDefault="003669F6">
      <w:pPr>
        <w:rPr>
          <w:lang w:val="en-GB"/>
        </w:rPr>
      </w:pPr>
      <w:r>
        <w:rPr>
          <w:lang w:val="en-GB"/>
        </w:rPr>
        <w:t xml:space="preserve">[1] </w:t>
      </w:r>
      <w:bookmarkStart w:id="0" w:name="_Hlk183130922"/>
      <w:r>
        <w:rPr>
          <w:lang w:val="en-GB"/>
        </w:rPr>
        <w:t xml:space="preserve">R1-2410922 </w:t>
      </w:r>
      <w:r>
        <w:t>LS on signalling feasibility of dataset and parameter sharing</w:t>
      </w:r>
      <w:bookmarkEnd w:id="0"/>
    </w:p>
    <w:p w14:paraId="0CFE38CF" w14:textId="3DD5F6CD" w:rsidR="00AF3527" w:rsidRPr="00C250FD" w:rsidRDefault="003669F6" w:rsidP="00C250FD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TR </w:t>
      </w:r>
      <w:r>
        <w:rPr>
          <w:lang w:val="en-GB"/>
        </w:rPr>
        <w:t>38.843</w:t>
      </w:r>
      <w:r w:rsidR="00C250FD">
        <w:rPr>
          <w:lang w:val="en-GB"/>
        </w:rPr>
        <w:t xml:space="preserve"> </w:t>
      </w:r>
      <w:r w:rsidR="00C250FD" w:rsidRPr="00C250FD">
        <w:rPr>
          <w:lang w:val="en-GB"/>
        </w:rPr>
        <w:t>Study on Artificial Intelligence (AI)/Machine Learning (ML) for NR air interface</w:t>
      </w:r>
    </w:p>
    <w:p w14:paraId="0FD620B6" w14:textId="14E154A8" w:rsidR="00AF3527" w:rsidRDefault="003669F6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3] TS 38.413</w:t>
      </w:r>
      <w:r w:rsidR="00C250FD">
        <w:rPr>
          <w:lang w:val="en-GB"/>
        </w:rPr>
        <w:t xml:space="preserve"> </w:t>
      </w:r>
      <w:r w:rsidR="00C250FD" w:rsidRPr="00C250FD">
        <w:rPr>
          <w:lang w:val="en-GB"/>
        </w:rPr>
        <w:t>NG Application Protocol (NGAP)</w:t>
      </w:r>
    </w:p>
    <w:p w14:paraId="24B1B2D9" w14:textId="11CA9F06" w:rsidR="00AF3527" w:rsidRDefault="003669F6">
      <w:pPr>
        <w:rPr>
          <w:b/>
          <w:bCs/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4] TS 23.501</w:t>
      </w:r>
      <w:r w:rsidR="00C250FD">
        <w:rPr>
          <w:lang w:val="en-GB"/>
        </w:rPr>
        <w:t xml:space="preserve"> </w:t>
      </w:r>
      <w:r w:rsidR="00C250FD" w:rsidRPr="00C250FD">
        <w:rPr>
          <w:lang w:val="en-GB"/>
        </w:rPr>
        <w:t>Procedures for the 5G System (5GS)</w:t>
      </w:r>
    </w:p>
    <w:sectPr w:rsidR="00AF35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EEB"/>
    <w:rsid w:val="007C031C"/>
    <w:rsid w:val="007C0AA3"/>
    <w:rsid w:val="007C14ED"/>
    <w:rsid w:val="007C15C7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5E5D77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2670</Words>
  <Characters>15222</Characters>
  <Application>Microsoft Office Word</Application>
  <DocSecurity>0</DocSecurity>
  <Lines>126</Lines>
  <Paragraphs>35</Paragraphs>
  <ScaleCrop>false</ScaleCrop>
  <Company/>
  <LinksUpToDate>false</LinksUpToDate>
  <CharactersWithSpaces>17857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Ziyi</cp:lastModifiedBy>
  <cp:revision>5</cp:revision>
  <dcterms:created xsi:type="dcterms:W3CDTF">2024-08-09T09:16:00Z</dcterms:created>
  <dcterms:modified xsi:type="dcterms:W3CDTF">2025-02-07T02:35:00Z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